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7.6.apakšpunktā paredzēto papildus finansējumu  atbalsta programmai,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protokollēmumu ar punktu "Ekonomikas ministrijai pēc noteikumu projekta pieņemšanas 60 dienu laikā sagatavot un iesniegt Ministru kabinetā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projekta atbilstību Latvijas Republikas starptautiskajām saistībām un aizpildīt anotācijas 5.4. sadaļas 1. tabulu ar atbilstošu informāciju par konkrēto Eiropas Savienības tiesību aktu prasību ieviešanu Ministru kabineta 2020. gada 16. jūnija noteikumos Nr. 383 "Noteikumi par garantijām saimnieciskās darbības veicējiem konkurētspējas uzlabošanai" (turpmāk - noteikumi). Vēršam uzmanību, ka noteikumos ieviestas Eiropas Savienības regulu prasības, tostarp projektā ir ietvertas atsauces uz regulu normām. Norādām, ka, lai arī regulas ir tieši piemērojamas un tās atšķirībā no direktīvām, nav jāpārņem nacionālajos tiesību aktos, dalībvalstij ir jānodrošina regulu tieša piemērošana katrā dalībvalstī un tam var būt nepieciešami īpaši regulas ieviešanas pasākumi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arī atsauču uz regulu un tās vienībām ietveršana normatīvajos aktos pēc būtības ir regulas prasību ieviešana, jo tādējādi tiek nodrošināta regulas prasību praktiskā piemērošana. Attiecīgi, ņemot vērā minēto, lūdzam anotācijas 5. sadaļā atspoguļot visu no projekta izrietošo Eiropas Savienības tiesību aktu un to vienību ieviešanu. Piemēram, projekts papildināts ar jaunu 14. un 15. punktu, no kuriem izriet vairāku Komisijas 2014. gada 17. jūnija Regulas (ES) Nr. 651/2014, ar ko noteiktas atbalsta kategorijas atzīst par saderīgām ar iekšējo tirgu, piemērojot Līguma 107. un 108. pantu (turpmāk - regula 651/2014) vienību ieviešana ar atsauci, tāpat, arī bez tās, piemēram, projekta 14. punkts (noteikumu 12.</w:t>
            </w:r>
            <w:r w:rsidR="00000000" w:rsidRPr="00000000" w:rsidDel="00000000">
              <w:rPr>
                <w:vertAlign w:val="superscript"/>
                <w:rtl w:val="0"/>
              </w:rPr>
              <w:t xml:space="preserve">1</w:t>
            </w:r>
            <w:r w:rsidR="00000000" w:rsidRPr="00000000" w:rsidDel="00000000">
              <w:rPr>
                <w:rtl w:val="0"/>
              </w:rPr>
              <w:t xml:space="preserve">2. apakšpunkts) un regulas 651/2014 14. panta sestais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starptautiskajām tiesību normām, kuras noteikumos ieviestas jau iepriekš, ja plānotie grozījumi skar noteikumu vienību, kurā tā ieviesta, lūdzam izvērtēt, vai konkrētas starptautiskās tiesību normas joprojām ir aktuālas, attiecināmas un ieviestas. Pamatojoties uz veikto izvērtējumu, iesakām papildināt anotācijas 5.sadaļu ar norādēm uz šīm Eiropas Savienības tiesību normām vai vispārīgi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ar attiecīgu izvērtējumu atbilstoši visiem Komisijas 2014.gada 17.jūnija Regulas (ES) Nr.651/2014, ar ko noteiktas atbalsta kategorijas atzīst par saderīgām ar iekšējo tirgu, piemērojot Līguma 107. un 108.pantu, (turpmāk – Regula Nr.651/2014) punktiem, kā arī iekļaut informāciju, ka Ekonomikas ministrija 20 darba dienu laikā pēc Ministru kabineta 2020. gada 16. jūnija noteikumu Nr. 383 "Noteikumi par garantijām saimnieciskās darbības veicējiem konkurētspējas uzlabošanai" (turpmāk – noteikumi) grozījumu stāšanās spēkā iesniegs Eiropas Komisijā kopsavilkuma informāciju par programmu,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1. tabula aizpildīta, iekļaujot visus Regulas Nr.651/2014 punktus, kas iekļauti grozījumu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Garantijas, kas šo noteikumu ietvaros tiek piešķirtas militārās drošības un  aizsardzības jomā, nav kvalificējams kā komercdarbības atbalsts, un tam nav jāpiemēro šajos noteikumos ietvertie Komisijas regulas Nr. 2023/2831 un Komisijas regulas  Nr.651/2014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"Piesakoties atbalstam, būs nepieciešams saņemt atzinumu no Aizsardzības ministrijas par projekta atbilstību drošības un aizsardzības jomai, veicot norādi par projekta atbilstību militārajai vai divējāda lietojuma produktu un tehnoloģiju specifikai." Skaidrojam, ka, ja publisko finansējumu paredzēts piešķirt divējāda lietojuma preču un tehnoloģiju jomā, tas būtu vērtējams kā saimniecisks projekts, kuram, piešķirot publisko finansējumu, būtu jāpiemēro komercdarbības atbalsta regulējums (sk. skaidrojošo materiālu Finanšu ministrijas mājas lapā https://www.fm.gov.lv/lv/media/21699/download?attachment). Izstrādājot atbalsta pasākumu, ir nepieciešams skaidri definēt atbalstāmo aktivitāšu būtību, proti, vai ir paredzēts sniegt atbalstu no publiskiem resursiem tikai tādām aktivitātēm, kas saistītas vienīgi ar darbībām militārajā jomā vai arī atbalsts no publiskiem resursiem iespējams divējāda lietojuma preču un tehnoloģiju jomā, attiecīgi lemjot par atbilstoša komercdarbības atbalsta regulējuma piemērošanu. Gadījumā, ja ir plānots atbalstu sniegt gan darbībām militārajā jomā, gan atbalstīt aktivitātes divējāda lietojuma preču un tehnoloģiju jomā, attiecībā uz publisko līdzekļu piešķīrumu atbalstam darbībām militārajā jomā komercdarbības atbalsta nosacījumus neattiecina, ja ar uzskaites nodalīšanu ir iespējams nodrošināt to, ka aktivitātes divējāda lietojuma preču un tehnoloģiju jomā negūst labumu no publiskajiem līdzekļiem, kas piešķirti darbībām militārajā jomā. Ņemot vērā skaidroto, lūdzam precizēt un papildināt noteikumu projektu un anotāciju tā, lai skaidrs, vai plānots atbalstu sniegt tikai darbībām militārajā jomā, vai arī atbalstīt aktivitātes divējāda lietojuma preču un tehnoloģiju jomā, un attiecīgi noteikumus papildināt ar normu, kas nosaka vai nu uzskaites nodalīšanu vai arī attiecīgus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to, ka regulējumā ir skaidri atrunāti komersanta un Aizsardzības ministrijas pienākumi, lūdzam papildināt noteikumu projektu ar atbilstošu regulējumu, definējot procedūras atbilstoši anotācijā norādītajam, proti, kādas darbības būs jāveic atbalsta pretendentam piesakoties atbalstam, lai saņemtu atzinumu no Aizsardzības ministrijas par projekta atbilstību drošības un aizsardzības jomai. Vienlaikus lūdzam saskaņot noteikumu projektu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un noteikumu projekts precizēts atbilstoši saņemtajam iebildumam un neformālajā grozīju saskaņošanas procesā papildus izteiktajiem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atbalsts tiek piešķirts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attiecībā uz publisko līdzekļu piešķīrumu, veic atbalsta uzskaites nodalīšanu, lai cita saimnieciskā darbība negūst labumu no publiskajiem līdzekļiem, kas piešķirti darbībām militārajam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sabiedrībi “Altum” atmaksātā publiskā finansējuma,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7.6.apakšpunktu, lai nodrošinātu atbilstību  Attīstības finanšu institūcijas likuma 12.panta ceturtajā daļā noteiktajam, paredzot atmaksātā publiskā finansējuma apmēru. Gadījumā, ja nav iespējams noteikt konkrētu atmaksu summu, lūdzam noteikt līdz kādai summai ir iespējams izmantot atmaksas,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nosakot, ka ka šī summas vots ir no sabiedrība “Altum” 2014. – 2020. gada Eiropas Savienības fondu plānošanas perioda ERAF atmaksātā publiskā finansējuma līdz 15 000 000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Latvijas mazo un vidējo komersantu mikrokreditēšanas programmas atmaksu publiskais finansējums – 595 050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tikai par jauniem finanšu pakalpojumiem, izņemot šādus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Nr.651/2014 14.pantu ir iespējams piemērot tikai tad, ja aizdevums, par kuru tiek sniegta garantija, ir saistīts ar sākotnējiem ieguldījumiem projektā, kā arī ir jāievēro atbalsta stimulējošās ietekmes nosacījums, lūdzam šajā kontekstā izvērtēt noteikumu 8., 9., 9</w:t>
            </w:r>
            <w:r w:rsidR="00000000" w:rsidRPr="00000000" w:rsidDel="00000000">
              <w:rPr>
                <w:vertAlign w:val="superscript"/>
                <w:rtl w:val="0"/>
              </w:rPr>
              <w:t xml:space="preserve">1</w:t>
            </w:r>
            <w:r w:rsidR="00000000" w:rsidRPr="00000000" w:rsidDel="00000000">
              <w:rPr>
                <w:rtl w:val="0"/>
              </w:rPr>
              <w:t xml:space="preserve"> punktā, kā arī citos noteikumu punktos, kur nepieciešams, iekļautos izņēmumus, un nepieciešamības gadījumā, precizēt noteikumus, piemēram, nosakot, kuros gadījumos Regulas Nr.651/2014 14.pants nav piemērojams. Vienlaikus lūdzam iekļaut skaidrojumu anotācijā, t.sk., ka jebkurā gadījumā pasākuma ietvaros atbalstu ar Regulas Nr.651/2014 14.pantu var saņemt tikai tad, ja aizdevums, par kuru tiek sniegta garantija, ir saistīts ar sākotnējiem ieguldījumiem projektā, kā arī ir jāievēro atbalsta stimulējošās ietekmes nosacījums, t.i. projekts nevar tik uzsākts ātrāk, kā iesniegts projekta pieteikums, un ka šos nosacījumus pirms garantijas izsniegšanas pārbauda garantijas devējs - akciju sabiedrība “Attīstības finanšu institūcija Altum” (turpmāk – Altum).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precizēts un sniegtais 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tikai par jauniem finanšu pakalpojumiem, izņemot šādus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Garantiju piešķir, ja saimnieciskā darbība ir ekonomiski dzīvotspējīga, tai skaitā izvērtējot saimnieciskās darbības veicēja biznesa idejas potenciālu un ilgtspēju, projekta īstenošanai nepieciešamo līdzfinansējumu un likviditāti, saimnieciskās darbības veicēja esošo un nākotnes finanšu situāciju, zināšanu un pieredzes atbilstību, kā arī analizējot identificētos uzņēmējdarbības riskus un citus faktorus saimnieciskās darbības veicēja aizdevuma kvalitātes noteikšanai. Piešķirot garantiju, tiek sniegts </w:t>
            </w:r>
            <w:r w:rsidR="00000000" w:rsidRPr="00000000" w:rsidDel="00000000">
              <w:rPr>
                <w:i w:val="1"/>
                <w:rtl w:val="0"/>
              </w:rPr>
              <w:t xml:space="preserve">de minimis</w:t>
            </w:r>
            <w:r w:rsidR="00000000" w:rsidRPr="00000000" w:rsidDel="00000000">
              <w:rPr>
                <w:rtl w:val="0"/>
              </w:rPr>
              <w:t xml:space="preserve"> atbalsts saskaņā ar šo noteikumu IV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papildināts ar atbalstu saskaņā ar Regulas Nr.651/2014 14.pantu, lūdzam precizēt noteikumu 10.punkta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Garantiju piešķir, ja saimnieciskā darbība ir ekonomiski dzīvotspējīga, tai skaitā izvērtējot saimnieciskās darbības veicēja biznesa idejas potenciālu un ilgtspēju, projekta īstenošanai nepieciešamo līdzfinansējumu un likviditāti, saimnieciskās darbības veicēja esošo un nākotnes finanšu situāciju, zināšanu un pieredzes atbilstību, kā arī analizējot identificētos uzņēmējdarbības riskus un citus faktorus saimnieciskās darbības veicēja aizdevuma kvalitātes noteikšanai. Piešķirot garantiju, atbalsts tiek sniegts saskaņā ar šo noteikumu IV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Vienam sīkajam (mikro), mazajam un vidējam saimnieciskās darbības veicējam un ar to saistīto personu grupai (atbilstoši Komisijas regulas Nr. </w:t>
            </w:r>
            <w:r w:rsidR="00000000" w:rsidRPr="00000000" w:rsidDel="00000000">
              <w:rPr>
                <w:rtl w:val="0"/>
              </w:rPr>
              <w:t xml:space="preserve">2023/2831</w:t>
            </w:r>
            <w:r w:rsidR="00000000" w:rsidRPr="00000000" w:rsidDel="00000000">
              <w:rPr>
                <w:rtl w:val="0"/>
              </w:rPr>
              <w:t xml:space="preserve"> 2. panta 2. punkta definīcijai) garantijas summa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12.punktu, jo tas runā par garantijas summu, kas sniegta MVU saskaņā ar Komisijas 2023.gada 13.decembra Regulu (ES) 2023/2831 par Līguma par Eiropas Savienības darbību 107. un 108.panta piemērošanu de minimis atbalstam (turpmāk –Regula Nr.2023/2831), sniedzot, t.sk., atsauci uz minētās regulas 2. panta 2. punkta definīciju, savukārt 12.punkta apakšpunkti runā arī par atbalstu ar Regulu Nr.651/2014, kurai ir attiecīgā saistīto uzņēmumu definīcija, un atbalstu lielajiem komersantiem.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Vienam saimnieciskās darbības veicējam un ar to saistīto personu grupai atbilstoši Komisijas regulas Nr. 2023/2831 2. panta 2. punkta definīcijai, ja atbalsts tiek sniegts saskaņā ar šo regulu vai saimnieciskās darbības veicējam un ar to saistīto personu grupai atbilstoši Komisijas regulas Nr. 651/2014 I pielikuma 3. panta 3. punkta definīcijai, ja atbalsts tiek sniegts saskaņā ar šo regulu, garantijas summa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bruto subsīdijas ekvivalents tiek aprēķināts saskaņā ar Komisijas Regula (ES) Nr. 651/2014 ( 2014. gada 17. jūnijs ), ar ko noteiktas atbalsta kategorijas atzīst par saderīgām ar iekšējo tirgu, piemērojot Līguma 107. un 108. pantu (turpmāk - Komisijas regula Nr. </w:t>
            </w:r>
            <w:r w:rsidR="00000000" w:rsidRPr="00000000" w:rsidDel="00000000">
              <w:rPr>
                <w:rtl w:val="0"/>
              </w:rPr>
              <w:t xml:space="preserve">2023/2831</w:t>
            </w:r>
            <w:r w:rsidR="00000000" w:rsidRPr="00000000" w:rsidDel="00000000">
              <w:rPr>
                <w:rtl w:val="0"/>
              </w:rPr>
              <w:t xml:space="preserve"> ) 4. panta 6. punkta "c" apakšpunktu,  – 25 000 000 </w:t>
            </w:r>
            <w:r w:rsidR="00000000" w:rsidRPr="00000000" w:rsidDel="00000000">
              <w:rPr>
                <w:i w:val="1"/>
                <w:rtl w:val="0"/>
              </w:rPr>
              <w:t xml:space="preserve">euro</w:t>
            </w:r>
            <w:r w:rsidR="00000000" w:rsidRPr="00000000" w:rsidDel="00000000">
              <w:rPr>
                <w:rtl w:val="0"/>
              </w:rPr>
              <w:t xml:space="preserve">, ja garantijas sākotnējais termiņš nepārsniedz 10 gadus ja garantija tiek sniegta kā reģionālais atbalstu saskaņā ar Komisijas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2020. gada 16. jūnija noteikumu Nr. 383 "Noteikumi par garantijām saimnieciskās darbības veicējiem konkurētspējas uzlabošanai” (turpmāk – noteikumi) 10.punktā minēts, ka "Piešķirot garantiju, tiek sniegts de minimis atbalsts saskaņā ar šo noteikumu IV nodaļu.", taču vienlaikus noteikumu projekts ir papildināts ar dažiem nosacījumiem, kā arī skaidrojumu anotācijā, no kā noprotams, ka atbalstu plānots piešķirt arī ar Komisijas 2014. gada 17. jūnija Regulas (ES) Nr. 651/2014, ar ko noteiktas atbalsta kategorijas atzīst par saderīgām ar iekšējo tirgu, piemērojot Līguma 107. un 108. pantu (turpmāk – Komisijas Regula Nr.651/2014) 14.pantu. Pirmkārt, aicinām anotācijā skaidrot, kuros gadījumos atbalsts tiks piešķirts kā de minimis atbalsts un kuros – piemērojot Komisijas Regulu Nr.651/2014, lai atbalsta pretendents būtu informēts un saprastu, kādi dokumenti tam jāiesniedz, piesakoties atbalstam. Otrkārt, skaidrojam, ka, piemērojot Komisijas Regulas Nr.651/2014 kādu no tās pantiem, atbilstoši Eiropas Savienības tiesu praksei atbalsta pasākumā jāietver visi nepieciešamie nosacījumi, ko šis regulējums ietver.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projektu ar visiem nepieciešamajiem Komisijas Regulas (ES) Nr. 651/2014 I nodaļas un 14.panta nosacījumiem (tostarp, atbalsta stimulējošās ietekmes un kumulācijas nosacījumiem, atbalsta intensitāti un citiem specifiskiem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projektā iekļautās normas, piemēram, noteikumu 12.1.apakšpunktu, jo vairs nav skaidrs, par kuru regulu (Komisijas Regulu (ES) Nr. 651/2014 vai  Komisijas regulu Nr. 2023/2831) ir runa, jo Komisijas Regulas (ES) Nr. 651/2014 4.pantam nav 6.punkta. Proti, no noteikumu projekta ir jābūt skaidram, kuros gadījumos kādiem uzņēmumiem piemēro de minimis regulējuma nosacījumus, kuros - Komisijas Regulu (ES) Nr. 651/2014, t.sk. kā aprēķina subsīdijas ekvivalentu, un kāda informācija atbalsta sniedzējam katrā gadījumā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ņēmusi vērā izteikto iebildumu un papildinājusi noteikumu projektu un anotāciju ar visiem nepieciešamajiem Komisijas Regulas (ES) Nr. 651/2014 I nodaļas un 14.panta nosacījumiem (tostarp, atbalsta stimulējošās ietekmes un kumulācijas nosacījumiem, atbalsta intensitāti un citiem specifiskiem nosacījumiem) un precizējusi noteikumu projektā iekļautās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sīkajam (mikro), mazajam un vidējam saimnieciskās darbības veicējam un ar to saistīto personu grupai 25 000 000 euro, ja atbalsts tiek sniegts kā de minimis un bruto subsīdijas ekvivalents tiek aprēķināts saskaņā ar Komisijas Regulas (ES) Nr. 2023/28314. panta 6. punkta "c" apakšpunktu,  un garantijas sākotnējais termiņš nepārsniedz 10 gadus, vai ja saimnieciskās darbības veicējam un ar to saistīto personu grupai nav pieejams de minimis limits vismaz atbalsta subsīdijas ekvivalenta apmērā un garantija tiek sniegta kā reģionālais atbalstu saskaņā ar Komisijas regulas Nr. 651/2014 14.pantu;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atbalsts tiek sniegts saskaņā ar Regulas 651/2014 14. pantu atbalstāmi ir ieguldījumi materiālajos aktīvos (saskaņā ar Komisijas regulas Nr. 651/2014 2. panta 29. punktu) un nemateriālajos aktīvos (saskaņā ar Komisijas regulas Nr. 651/2014 2. panta 30. punktu),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papildināti ar Regulas Nr.651/2014 nosacījumiem, lūdzam noteikumus papildināt ar visām normām, kas izriet no Regulas Nr.651/2014  I sadaļas, kā arī 13. un 14.panta prasībām. Tai skaitā, 1.panta 4.punkta (saistīto uzņēmumu grupas līmenī), 9.panta 1. un 4.punkta, 14.panta 7., 14. un 16.punkta.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minētajām  Regulas Nr.651/2014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atbalsts tiek sniegts saskaņā ar Regulas 651/2014 14. pantu atbalstāmi ir ieguldījumi materiālajos aktīvos (saskaņā ar Komisijas regulas Nr. 651/2014 2. panta 29. punktu) un nemateriālajos aktīvos (saskaņā ar Komisijas regulas Nr. 651/2014 2. panta 30. punktu),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nemateriālie aktīvi atbilst Komisijas regulas Nr. 651/2014 14. panta 8. punktā minētajiem nosacījumiem. Lielajiem komersantiem nemateriālos aktīvus var finansēt līdz 50 % no sākotnējo ieguldījumu kopējām attiecināmajām ieguldījumu izmaksām. Sīkajiem (mikro), mazajiem vai vidējiem komersantiem nemateriālos aktīvus var finansēt 100 %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veiktos precizējumus un veikt tajā visus nepieciešamos labojumus,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projektā ir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piemēram, uz projekta 14. punktu (noteikumu 12.</w:t>
            </w:r>
            <w:r w:rsidR="00000000" w:rsidRPr="00000000" w:rsidDel="00000000">
              <w:rPr>
                <w:vertAlign w:val="superscript"/>
                <w:rtl w:val="0"/>
              </w:rPr>
              <w:t xml:space="preserve">1</w:t>
            </w:r>
            <w:r w:rsidR="00000000" w:rsidRPr="00000000" w:rsidDel="00000000">
              <w:rPr>
                <w:rtl w:val="0"/>
              </w:rPr>
              <w:t xml:space="preserve"> 4. apakšpunkts), kas daļēji pārraksta Regulas 651/2014 14. panta astotā punkta 2. daļu, projekta 14. punktu (noteikumu 12.</w:t>
            </w:r>
            <w:r w:rsidR="00000000" w:rsidRPr="00000000" w:rsidDel="00000000">
              <w:rPr>
                <w:vertAlign w:val="superscript"/>
                <w:rtl w:val="0"/>
              </w:rPr>
              <w:t xml:space="preserve">1</w:t>
            </w:r>
            <w:r w:rsidR="00000000" w:rsidRPr="00000000" w:rsidDel="00000000">
              <w:rPr>
                <w:rtl w:val="0"/>
              </w:rPr>
              <w:t xml:space="preserve"> 6. apakšpunkts), kas daļēji pārraksta Regulas 651/2014 14. panta piekto punktu vai projekta 38. punktu (noteikumu 31.</w:t>
            </w:r>
            <w:r w:rsidR="00000000" w:rsidRPr="00000000" w:rsidDel="00000000">
              <w:rPr>
                <w:vertAlign w:val="superscript"/>
                <w:rtl w:val="0"/>
              </w:rPr>
              <w:t xml:space="preserve">3</w:t>
            </w:r>
            <w:r w:rsidR="00000000" w:rsidRPr="00000000" w:rsidDel="00000000">
              <w:rPr>
                <w:rtl w:val="0"/>
              </w:rPr>
              <w:t xml:space="preserve"> punkts), kas daļēji pārraksta Regulas 651/2014 14. panta 14. punkta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precizēti, ja vēl nepieciešami labojumi, lūgums priekšlikumā norādīt, kuri punkti papildus ir izsakāmi citādākā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nemateriālie aktīvi atbilst Komisijas regulas Nr. 651/2014 14. panta 8. punktā minētajiem nosacījumiem. Lielajiem saimnieciskās darbības veicējiem nemateriālos aktīvus var finansēt aizdevums, par kuru sniegta garantija līdz 50 % no sākotnējo ieguldījumu kopējām attiecināmajām ieguldījumu izmaksām. Sīkajiem (mikro), mazajiem vai vidējiem saimnieciskās darbības veicējiem nemateriālos aktīvus var finansēt 100 %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atbalstam ir stimulējoša ietekme atbilstoši Komisijas regulas Nr. 651/2014 6. panta 2. punktā minētajām pazīmēm. Ja projektam piesaista citu publisko finansējumu, darbu ar projektu var uzsākt tad, kad visās iestādēs, kurās pretendē uz atbalstu, ir iesniegts pieteikums un ir pieņemts lēmums par atbalsta piešķiršanu vai noslēgts līgums, ja atbalstu nepiešķir ar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ka projektā radušās attiecināmās izmaksas var tikt attiecinātas arī gadījumos, ja darbi pie sākotnējā ieguldījumu projekta tika uzsākti pirms projekta iesnieguma (garantijas pieteikuma) iesniegšanas, tādējādi pārkāpjot stimulējošās ietekmes prasību (atbilstoši Komisijas regulas Nr.651/2014 6.pantam), lūdzam papildināt noteikumu 12.</w:t>
            </w:r>
            <w:r w:rsidR="00000000" w:rsidRPr="00000000" w:rsidDel="00000000">
              <w:rPr>
                <w:vertAlign w:val="superscript"/>
                <w:rtl w:val="0"/>
              </w:rPr>
              <w:t xml:space="preserve">1</w:t>
            </w:r>
            <w:r w:rsidR="00000000" w:rsidRPr="00000000" w:rsidDel="00000000">
              <w:rPr>
                <w:rtl w:val="0"/>
              </w:rPr>
              <w:t xml:space="preserve">5. apakšpunktu ar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projekta iesniegums atbilst Komisijas regulas Nr. 651/2014 6. panta 2. punktā ietvertajām prasībām par pieteikumā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projekta īstenošana ir uzsākta pirms projekta iesnieguma iesniegšanas, projekta iesniegumu noraida;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"darbu sākuma" definīciju atbilstoši Komisijas regulas Nr. 651/2014 2. panta 23.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 atbalstam ir stimulējoša ietekme, ko apliecina saimnieciskās darbības veicēja iesniegtā informācija atbilstoši Komisijas regulas Nr. 651/2014 6. panta 2. punktā minētajām pazīmēm un informācijai. Ja projektam piesaista citu publisko finansējumu, darbu ar projektu var uzsākt tad, kad visās iestādēs, kurās pretendē uz atbalstu, ir iesniegts pieteikums un ir pieņemts lēmums par atbalsta piešķiršanu vai noslēgts līgums, ja atbalstu nepiešķir ar lēmumu. Ja projekta īstenošana ir uzsākta pirms garantijas pieteikuma iesniegšanas, to noraida;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Iepriekš izsniegtas garantijas termiņu, kas izsniegta saskaņā ar Komisijas regulas Nr. 651/2014 14.pantu var pagarināt, kopējam garantijas termiņam nepārsniedzot 15 gadus tikai gadījumos, ja netiek pārsniegta sākotnēji piešķirtā atbalsta intensitāte.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atbalstu saskaņā ar Regulu Nr. 651/2014 ir jāievēro atbalsta stimulējošās ietekmes nosacījums, jau sākotnēji lemjot par garantijas piešķiršanu ir jānosaka maksimālais iespējamais garantijas termiņš, summa un atbalsta intensitāte, jo jaunu lēmumu par papildus atbalsta piešķiršanu vairs pieņemt nevarēs. Attiecīgi lūdzam precizēt noteikumu 14.</w:t>
            </w:r>
            <w:r w:rsidR="00000000" w:rsidRPr="00000000" w:rsidDel="00000000">
              <w:rPr>
                <w:vertAlign w:val="superscript"/>
                <w:rtl w:val="0"/>
              </w:rPr>
              <w:t xml:space="preserve">1</w:t>
            </w:r>
            <w:r w:rsidR="00000000" w:rsidRPr="00000000" w:rsidDel="00000000">
              <w:rPr>
                <w:rtl w:val="0"/>
              </w:rPr>
              <w:t xml:space="preserve"> punktu un papildināt noteikumus tā, lai tas ir viennozīmīgi ir skaidrs.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Iepriekš izsniegtas garantijas termiņu, kas izsniegta saskaņā ar Komisijas regulas Nr. 651/2014 14.pantu nevar pagarināt un kopējais garantijas termiņš nepārsniedz 15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2.1. redakcijas grupa "Ceļojumu biroju, tūrisma operatoru un citi rezervēšanas pakalpojumi un ar tiem saistītas darbības", garantijas prēmiju, kas aprēķināta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un paredzēta šo noteikumu </w:t>
            </w:r>
            <w:r w:rsidR="00000000" w:rsidRPr="00000000" w:rsidDel="00000000">
              <w:rPr>
                <w:rtl w:val="0"/>
              </w:rPr>
              <w:t xml:space="preserve">8.5.</w:t>
            </w:r>
            <w:r w:rsidR="00000000" w:rsidRPr="00000000" w:rsidDel="00000000">
              <w:rPr>
                <w:rtl w:val="0"/>
              </w:rPr>
              <w:t xml:space="preserve"> apakšpunktā</w:t>
            </w:r>
            <w:r w:rsidR="00000000" w:rsidRPr="00000000" w:rsidDel="00000000">
              <w:rPr>
                <w:rtl w:val="0"/>
              </w:rPr>
              <w:t xml:space="preserve"> minēto finanšu pakalpojumu garantēšanai, var samazināt, bet ne vairāk kā 90 %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ir skaidrs kāds ir subsīdijas ekvivalents, lūdzam anotācijā skaidrot subsīdijas ekvivalenta aprēķināšanas metodiku, gadījumā, kas noteikts noteikumu 19.</w:t>
            </w:r>
            <w:r w:rsidR="00000000" w:rsidRPr="00000000" w:rsidDel="00000000">
              <w:rPr>
                <w:vertAlign w:val="superscript"/>
                <w:rtl w:val="0"/>
              </w:rPr>
              <w:t xml:space="preserve">1</w:t>
            </w:r>
            <w:r w:rsidR="00000000" w:rsidRPr="00000000" w:rsidDel="00000000">
              <w:rPr>
                <w:rtl w:val="0"/>
              </w:rPr>
              <w:t xml:space="preserve"> punktā, ņemot vērā noteikumu 19.punktā minēto garantijas prēmiju likmju aprēķina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subsīdijas ekvivalenta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2.1. redakcijas grupa "Ceļojumu biroju, tūrisma operatoru un citi rezervēšanas pakalpojumi un ar tiem saistītas darbības", garantijas prēmiju, kas aprēķināta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un paredzēta šo noteikumu </w:t>
            </w:r>
            <w:r w:rsidR="00000000" w:rsidRPr="00000000" w:rsidDel="00000000">
              <w:rPr>
                <w:rtl w:val="0"/>
              </w:rPr>
              <w:t xml:space="preserve">8.5.</w:t>
            </w:r>
            <w:r w:rsidR="00000000" w:rsidRPr="00000000" w:rsidDel="00000000">
              <w:rPr>
                <w:rtl w:val="0"/>
              </w:rPr>
              <w:t xml:space="preserve"> apakšpunktā</w:t>
            </w:r>
            <w:r w:rsidR="00000000" w:rsidRPr="00000000" w:rsidDel="00000000">
              <w:rPr>
                <w:rtl w:val="0"/>
              </w:rPr>
              <w:t xml:space="preserve"> minēto finanšu pakalpojumu garantēšanai, var samazināt, bet ne vairāk kā 90 %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Atbalsta sniedzējs veic saimnieciskās darbības veicēja izvērtēšanu atbilstoši Komisijas regulas Nr. 2023/2831 nosacījumiem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papildināt noteikumu 20.</w:t>
            </w:r>
            <w:r w:rsidR="00000000" w:rsidRPr="00000000" w:rsidDel="00000000">
              <w:rPr>
                <w:vertAlign w:val="superscript"/>
                <w:rtl w:val="0"/>
              </w:rPr>
              <w:t xml:space="preserve">1</w:t>
            </w:r>
            <w:r w:rsidR="00000000" w:rsidRPr="00000000" w:rsidDel="00000000">
              <w:rPr>
                <w:rtl w:val="0"/>
              </w:rPr>
              <w:t xml:space="preserve"> punktu arī ar atsauci uz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Atbalsta sniedzējs veic saimnieciskās darbības veicēja izvērtēšanu atbilstoši Komisijas regulas Nr. 2023/2831 vai Komisijas regulas Nr. 651/2014 nosacījumiem uz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ja atbalsts tiek sniegts kā de minimis vai saskaņā ar metodiku, kas saskaņota ar Eiropas Komisiju atbilstoši Regulas 651/2014 5.panta “c” “ii” apakšpunktam vai saskaņā  Nr. 2023/2831 4. panta 6. punkta "d" “i”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21.punktu, skaidri nosakot, kādus nosacījumus subsīdijas ekvivalenta aprēķināšanai lielajam saimnieciskās darbības veicējam un mazai vidējās kapitalizācijas un vidējās kapitalizācijas sabiedrībai piemēro gadījumos, kad atbalstu sniedz piemērojot Regulu Nr. 2023/2831 vai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un 21. punkti jau nosaka, kuros gadījumos tiek piemērots kurš no ekvivalenta aprēķina veidiem. Jau iepriekš sūtītajā redakcijā tas ir precizēts un skaidrots, tāpat kā projekta 12.2.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atbalsts šo noteikumu ietvaros primāri tiek sniegts kā de minimis un tikai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saimnieciskās darbības veicējam (MVU) nav pieejams de minimis limits vismaz atbalsta subsīdijas ekvivalenta apmērā garantija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minēts noteikumu 21.punktā lielajam komersantam garantijas apjoms un termiņš pārsniedz Regulas Nr. 2023/2831 4. panta 6. punkta "b" apakšpunkta minētos garantijas limitus ("garantētā summa ir 2 250 000 EUR un garantijas ilgums ir 5 gadi, vai arī garantētā summa ir 1 125 000 EUR un garantijas ilgums ir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 tiek sniegta kā reģionālais atbalstu saskaņā ar Komisijas regulas Nr. 651/2014 14.pantu un ekvivalents tiek aprēķināts saskaņā ar metodiku, kas saskaņota ar Eiropas Komisiju atbilstoši Regulas 651/2014 5.panta “c” “ii” apakšpunktam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tiek sniegta kā de minimis un ekvivalents tiek aprēķināts saskaņā ar metodiku, kas saskaņota ar Eiropas Komisiju atbilstoši atbalsts saskaņā Regulas Nr. Nr. 2023/2831 4. panta 6. punkta "d" “i” apakšpunkta nosacījumiem. (tā pati metodika ekvivalenta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atbilstoši skaidrojumam 21.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vai saskaņā ar metodiku, kas saskaņota ar Eiropas Komisiju atbilstoši Regulas Nr. 2023/2831 4. panta 6. punkta "d" “i” apakšpunkta nosacījumiem, ja atbalsts tiek sniegts kā de minimis. Ja atbalsts tiek sniegts saskaņā ar Regulu 651/2014, subsīdijas ekvivalentu aprēķina saskaņā ar metodiku, kas saskaņota ar Eiropas Komisiju atbilstoši Regulas 651/2014 5.panta “c” “ii”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ja atbalsts tiek sniegts kā de minimis vai saskaņā ar metodiku, kas saskaņota ar Eiropas Komisiju atbilstoši Regulas 651/2014 5.panta “c” “ii” apakšpunktam vai saskaņā  Nr. 2023/2831 4. panta 6. punkta "d" “i”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Klimata un enerģētikas ministrija ar akciju sabiedrības “Attīstības finanšu institūcija Altum” (turpmāk – sabiedrība “Altum”) atbalstu vēl tikai veic dokumentu sagatavošanu paziņojuma iesniegšanai Eiropas Komisijai un ka Eiropas Komisija vēl nav pieņēmusi lēmumu par noteikumu 21. punkta plānotajā redakcijā minēto metodiku, lūdzam precizēt noteikumu projektu, piemēram, noteikumu projekta "VI.Noslēguma jautājumi" nosakot pārejas kārtību no pašlaik pastāvošā tiesiskā regulējuma uz jauno tiesisko regulējumu, kad noteikumu 21. punkta plānotajā redakcijā minētā metodika tiks apstiprināta no Eiropas Komisijas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nodaļa "VI.Noslēguma jautājumi" papildināta ar jaunu punktu, nosakot pārejas kārtību no pašlaik pastāvošā tiesiskā regulējuma uz jauno tiesisko regulējumu - 45.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 vai saskaņā ar metodiku, kas saskaņota ar Eiropas Komisiju atbilstoši Regulas Nr. 2023/2831 4. panta 6. punkta "d" “i” apakšpunkta nosacījumiem, ja atbalsts tiek sniegts kā de minimis. Ja atbalsts tiek sniegts saskaņā ar Regulu 651/2014, subsīdijas ekvivalentu aprēķina saskaņā ar metodiku, kas saskaņota ar Eiropas Komisiju atbilstoši Regulas 651/2014 5.panta “c” “ii”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i w:val="1"/>
                <w:rtl w:val="0"/>
              </w:rPr>
              <w:t xml:space="preserve">De minimis</w:t>
            </w:r>
            <w:r w:rsidR="00000000" w:rsidRPr="00000000" w:rsidDel="00000000">
              <w:rPr>
                <w:rtl w:val="0"/>
              </w:rPr>
              <w:t xml:space="preserve"> atbalsts saimnieciskās darbības veicējam tiek piešķirts ar dienu, kad pieņemts lēmums par </w:t>
            </w:r>
            <w:r w:rsidR="00000000" w:rsidRPr="00000000" w:rsidDel="00000000">
              <w:rPr>
                <w:i w:val="1"/>
                <w:rtl w:val="0"/>
              </w:rPr>
              <w:t xml:space="preserve">de minimis</w:t>
            </w:r>
            <w:r w:rsidR="00000000" w:rsidRPr="00000000" w:rsidDel="00000000">
              <w:rPr>
                <w:rtl w:val="0"/>
              </w:rPr>
              <w:t xml:space="preserve">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papildināt noteikumu 22. punktu arī ar atsauci uz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Atbalsts, kas piešķirts ar Komisijas regulu Nr. 2023/2831 vai Komisijas regulu Nr. 651/2014  saimnieciskās darbības veicējam tiek piešķirts ar dienu, kad pieņemts lēmums par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Piesakoties de minimis atbalstam, saimnieciskās darbības veicējs sniedz informāciju par iepriekš saņemto de minimis atbalstu, ievērojot normatīvos aktus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papildināt noteikumu 23. punktu arī ar tajā ietvertajiem nosacījumiem atbalstam, kas sniegts ar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Atgriezta sākotnēja redakcija. Noteikumu 30. punktā jau ir mineta prasība iesniegt informāciju ari par citiem atbalstiem, kas saņemti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Piesakoties de minimis atbalstam, saimnieciskās darbības veicējs sniedz informāciju par iepriekš saņemto de minimis atbalstu, ievērojot normatīvos aktus par de minimis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atbalsta saņēmējs ievēro Komisijas regulas Nr. </w:t>
            </w:r>
            <w:r w:rsidR="00000000" w:rsidRPr="00000000" w:rsidDel="00000000">
              <w:rPr>
                <w:rtl w:val="0"/>
              </w:rPr>
              <w:t xml:space="preserve">2023/2831</w:t>
            </w:r>
            <w:r w:rsidR="00000000" w:rsidRPr="00000000" w:rsidDel="00000000">
              <w:rPr>
                <w:rtl w:val="0"/>
              </w:rPr>
              <w:t xml:space="preserve"> 6. panta 3. un 7.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precizēt noteikumu 27. punktu ar dokumentu glabāšanas nosacījumiem, ja atbalsts tiek sniegts ar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atbalsta saņēmējs ievēro Komisijas regulas Nr. </w:t>
            </w:r>
            <w:r w:rsidR="00000000" w:rsidRPr="00000000" w:rsidDel="00000000">
              <w:rPr>
                <w:rtl w:val="0"/>
              </w:rPr>
              <w:t xml:space="preserve">2023/2831</w:t>
            </w:r>
            <w:r w:rsidR="00000000" w:rsidRPr="00000000" w:rsidDel="00000000">
              <w:rPr>
                <w:rtl w:val="0"/>
              </w:rPr>
              <w:t xml:space="preserve"> 6. panta 3. un 7. punktā vai Komisijas Regulas Nr. 651/2014 12.pantā minētos nosacījumus un glabā to 10 gadus no dienas, kad atbilstoši šiem noteikumiem piešķirts pēdējais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w:t>
            </w:r>
            <w:r w:rsidR="00000000" w:rsidRPr="00000000" w:rsidDel="00000000">
              <w:rPr>
                <w:rtl w:val="0"/>
              </w:rPr>
              <w:t xml:space="preserve">2023/2831</w:t>
            </w:r>
            <w:r w:rsidR="00000000" w:rsidRPr="00000000" w:rsidDel="00000000">
              <w:rPr>
                <w:rtl w:val="0"/>
              </w:rPr>
              <w:t xml:space="preserve">  vai Komisijas regulas 651/2014 prasības, atbalsta saņēmējam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tiek pārkāpti Regulas Nr. 651/2014 nosacījumi, atbalsta saņēmējam ir pienākums atmaksāt Altum projekta ietvaros saņemto nelikumīgo komercdarbības atbalstu kopā ar procentiem no līdzekļiem, kas ir brīvi no komercdarbības atbalsta, atbilstoši Komercdarbības atbalsta kontroles likuma IV vai V nodaļas nosacījumiem. Attiecīgi lūdzam precizēt noteikumu 28.punkta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w:t>
            </w:r>
            <w:r w:rsidR="00000000" w:rsidRPr="00000000" w:rsidDel="00000000">
              <w:rPr>
                <w:rtl w:val="0"/>
              </w:rPr>
              <w:t xml:space="preserve">2023/2831</w:t>
            </w:r>
            <w:r w:rsidR="00000000" w:rsidRPr="00000000" w:rsidDel="00000000">
              <w:rPr>
                <w:rtl w:val="0"/>
              </w:rPr>
              <w:t xml:space="preserve">  vai Komisijas regulas 651/2014 prasības, atbalsta saņēmējam ir pienākums atmaksāt sabiedrībai "Altum" projekta ietvaros saņemto nelikumīgo komercdarbības atbalstu kopā ar procentiem no līdzekļiem, kas ir brīvi no komercdarbības atbalst,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w:t>
            </w:r>
            <w:r w:rsidR="00000000" w:rsidRPr="00000000" w:rsidDel="00000000">
              <w:rPr>
                <w:rtl w:val="0"/>
              </w:rPr>
              <w:t xml:space="preserve">2023/2831</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vai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saimnieciskās darbības veicējs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noteikumu papildināt ar normu, kas nosaka nosacījums par darbības vai izmaksu nošķiršanu gadījumā, ja uzņēmums darbojas gan izslēgtajās nozarēs, gan citās nozarēs, uz kurām attiecas Regulas Nr.651/2014 darbības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minētajās neatbalstāmajās nozarēs, atbalstu drīkst piešķirt tikai tad, ja atbalsta pretendents nodrošina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vai  Komisijas regulas Nr. 651/2014 1. panta 2. un 3. punktā minēto darbības izslēgtajās nozarēs negūst labumu no atbalsta, ko piešķir saskaņā ar Komisijas regulu Nr. </w:t>
            </w:r>
            <w:r w:rsidR="00000000" w:rsidRPr="00000000" w:rsidDel="00000000">
              <w:rPr>
                <w:rtl w:val="0"/>
              </w:rPr>
              <w:t xml:space="preserve">2023/2831</w:t>
            </w:r>
            <w:r w:rsidR="00000000" w:rsidRPr="00000000" w:rsidDel="00000000">
              <w:rPr>
                <w:rtl w:val="0"/>
              </w:rPr>
              <w:t xml:space="preserve"> vai Komisijas regulu Nr. 651/2014. Ja saimnieciskās darbības veicējs vienlaikus darbojas vienā vai vairākās nozarēs, kas minētas 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vai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atbalstu drīkst piešķirt tikai tad, ja saimnieciskās darbības veicējs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Lēmumu par </w:t>
            </w:r>
            <w:r w:rsidR="00000000" w:rsidRPr="00000000" w:rsidDel="00000000">
              <w:rPr>
                <w:i w:val="1"/>
                <w:rtl w:val="0"/>
              </w:rPr>
              <w:t xml:space="preserve">de minimis</w:t>
            </w:r>
            <w:r w:rsidR="00000000" w:rsidRPr="00000000" w:rsidDel="00000000">
              <w:rPr>
                <w:rtl w:val="0"/>
              </w:rPr>
              <w:t xml:space="preserve"> atbalsta piešķiršanu atbilstoši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var pieņemt līdz Komisijas regulas Nr. 2023/2831 7. panta 3. punktā un 8. pantā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arī ar Regulas Nr.651/2014 nosacījumiem, lūdzam noteikumu papildināt ar normu, kas nosaka termiņu atbalsta sniegšanai ar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sadalīts divos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Lēmumu par atbalsta piešķiršanu atbilstoši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var pieņemt: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Garantijas uz Regulas 651/2014 14.panta pamata piešķir no brīža, kad Eiropas komisija ir saskaņojusi noteikumu 21.punktā minēto metodiku atbilstoši Regulas 651/2014 5.panta “c” “ii”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21.punkta izriet, ka subsīdijas ekvivalentu lielajam saimnieciskās darbības veicējam un mazai vidējās kapitalizācijas un vidējās kapitalizācijas sabiedrībai aprēķinās arī saskaņā Regulas Nr. 2023/2831 4. panta 6. punkta "d" “i” apakšpunkta nosacījumiem, lūdzam papildināt noteikumu 45.punktu ar atsauci arī uz šo  Regulas Nr. 2023/2831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Garantijas uz Regulas 651/2014 14.panta un Regulas Nr. 2023/2831 4. panta 6. punkta "d" “i” apakšpunkta pamata piešķir no brīža, kad Eiropas komisija ir saskaņojusi noteikumu 21.punktā minēto metodiku atbilstoši Regulas Nr. 2023/2831 4. panta 6. punkta "d" un "i" apakšpunktiem vai Regulas 651/2014 5.panta “c” “ii” apakšpunktam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anotāciju, papildinot to ar informāciju par 16.²punkta un tā apakšpunktu 16.21., 16.22, 16.23., 16.23.1., 16.23.2.  iekļaušanu noteikumu projektā, norādot šī punkta iekļaušanas pamatojumu un nozīmi normatīvā akta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Vēršam uzmanību, ka arī noteikumu projekts ir papildināts ar vairākiem punktiem, kas skar Komisijas Regulas 651/2014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attiecībā uz garantijām, lūdzu risinājuma aprakstu papildināt ar informāciju par darbībām ar līdz šim jau izsniegtām 1.2.3.4 pasākuma portfeļgarantijām - vai tās ir jāizņem no apguves datiem (tātad arī no maksājuma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ar CFLA maksājumu peiprasījumu līmenī vienosies par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11.punktā sniegto informāciju, ka digitalizācijas garantijām paredzētā finansējuma 4 190 000 euro apmērā pārcelšana uz 1.2.3.3. pasākumu nemaina pasākumu finansējuma apmēru, bet tikai izsniedzamo garantiju apmēru, kas tiks paredzēts no Altum atmaksām, lūdzam attiecīgi papildināt anotācijas 1.3.sadaļā tehnisko precizējumu aprakstu ar iepriekš minēto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anotācijas 1.3. sadaļās apakšsadaļā "Risinājuma apraksts" sniegt informāciju kā kredītiestāžu loka paplašināšana ietekmēs 1.2.3.4.pasākuma garantiju programmas sasniedzamos rādītājus un kāds ir paredzamais darījumu apjoma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apakšsadaļā sniegtos projekta skaidrojumus, nodrošinot tiesību normu adresātiem pilnīgu un korektu no tā izrietošo nosacījumu izpratni. Vēršam uzmanību, ka, piemēram, 8. punkts skaidrots vispārīgi, nenorādot uz ar to saistītajiem tiesību normas piemērošanas praktiskajiem apstākļiem, nepieciešamības pamatojumu. Savukārt, piemēram, projekta 14. punkts nav skaidrots vispār, kas ir būtiski projekta izpratnes nodrošināšanai, jo ar to noteikumos tiek ieviestas vairākas jaunas vienības un tiesību normu adresātiem ir jānodrošina to pilnīga un precīza izpratne.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sniedzot papildus skaidrojumus par noteikumu projektā integrētajām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konkrētāku Ekonomikas ministrijas  izvērtējumu par nosacījumiem, kas tiek mainīti noteikumu ietvaros - garantijas apjoma palielināšana, kredītiestāžu loka paplašināšana - kāds ir paredzamais darījumu apjoma pieaugums, kā tas ietekmēs 1.2.3.4.pasākuma īstenošanu - pasākuma finansējuma izlietojumu un 1.2.3.4.pasākuma garantiju programmas sasniedzamos rādītājus. Lūgums sniegt arī izvērtējumu par kredītiestāžu loka paplašināšanas, tajā skaitā, papildināšanas ar alternatīvā finansējuma pakalpojuma sniedzējiem, riskiem un plānotajiem risku novēršanas mehānismiem (piemēram, lai netiktu atbalstīta "ātrās kreditēšanas" nozares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 informāciju skatīt Risinājumu aprakstā pie Atbalsta piešķiršanas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noteikumu grozījumu nosacījumu, kas attiecas uz Eiropas Savienības kohēzijas politikas programmas 2021. - 2027.gadam 1.2.3.4. un 1.2.2.2.pasākumu, ietekmi uz īstenošanā esošajiem un plānotajiem (vērtēšanā esošajiem un iesniegtajiem projektiem, kuru vērtēšana nav uzsākta) 1.2.3.4 un 1.2.2.2.pasākuma garantiju programmas projektiem, kā arī izvērtējumu, vai būs nepieciešami grozījumi visu līmeņu noslēgtajos līgumos. Tāpat lūdzam noteikt pārejas nosacījumus jauno plānoto garantiju nosacījumu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1.2.2.2. pasākums jau pie Darbības programmas grozījumiem Nr. 2 integrēts pasākumā 1.2.3.4., līdz ar to atsauces uz 1.2.2.2. pasākumu tiek dzēstas un anotācijā arī netiek veiktas atsauces uz šo pasākumu. Anotācijā skaidrots, ka MKN grozījumi neietekmēs pasākuma 1.2.3.4.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garantijas pēc jaunajiem nosacījumiem tiks piešķirtas pēc tam, kad EK būs apstiprinājusi KEM un Altum izstrādāto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Savienības kohēzijas politikas programmas 2021. - 2027.gadam grozījumi Nr.3, kas iekļauj arī 1.2.2.2.pasākuma pievienošanu 1.2.3.4.pasākumam (svītrošanu no 1.2.2. specifiskā atbalsta mērķa), vēl nav apstiprināti, lūgums anotācijā paredzēt risku, ka Eiropas Komisija var neatbalstīt Ekonomikas ministrijas ierosinātos grozījumus Eiropas Savienības kohēzijas politikas programmā 2021. - 2027.gadam, tādējādi paredzot veikt attiecīgus grozījumus noteikumos. Kā arī lūdzam papildināt Ministru kabineta protokollēmuma projektu ar punktu par Ekonomikas ministrijas rīcību, gadījumā, ja Eiropas Komisija nesaskaņos Ekonomikas ministrijas piedāvātos grozījumus 1.2.2.2.pasākuma pievienošanai 1.2.3.specifiskajam atbalsta mērķim - pēc līdzības ar 1.2.1.2.pasākuma noteikumu grozījumiem (25-TA-215).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1.2.2.2. pasākuma integrēšana 1.2.3.4. pasākumā jau ir notikusi pie Darbības programmas grozījumiem Nr. 2 un tie ir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plānotajai  1.2.2.2. pasākuma likvidēšanai, kā arī 1.2.3.3.pasākuma finansējuma maiņai nepieciešami arī grozījumi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grozījumi 2023. gada 5. septembra noteikumos Nr. 510 "Eiropas Savienības kohēzijas politikas programmas 2021.–2027. gadam finanšu instrumentu kopīgie īstenošanas noteikumi" jau ir uzsākti un tajos iekļauta 1.2.2.2. pasākuma 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tehnisko precizējumu apraksta pirmo rindkopu, atrunājot, ka 1.2.2.2 pasākuma izsniegto atbalstu vienam gala saņēmējam pārceļ uz 1.2.3.4. pasākumu, kā arī norādot 1.2.2.2. pasākumam pieejamo finansējumu atbilstoši Ministru kabineta 2023. gada 5. septembra noteikumiem Nr. 510 pielikumam.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 2021.–2027.gadam  no SAM 1.2.2. svītrots finanšu instrumentu atbalsts (digitalizācijas garantijas). ņemot vērā to, ka 1.2.3. SAM ietvaros jau tiek nodrošināts atbalsts garantijām Finanšu instrumentu (turpmāk – FI) veidā, attiecīgi digitalizācijas garantijām paredzētais finansējums 4 934 738 euro  apmērā tiek pārcelts uz 1.2.3.3. pasākumu, savukārt 1.2.2.2. pasākuma ietvaros vienīgais sniegtais atbalsts gala saņēmējam tiek pārcelts uz 1.2.3.4 pasākumu. Veikti precizējumi MK noteikumu projektā, dzēšot atsauces uz 1.2.2.2. pasākumu, jo no SAM 1.2.2. svītrots finanšu instrumentu atbalsts (digitalizācijas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ka digitalizācijas garantijām paredzētais finansējums 4 190 000 euro apmērā tiek pārcelts uz 1.2.3.3. pasākumu un gadījumā, ja minētais samazinājums ir attiecināms uz Eiropas Savienības fondu projektiem, tad lūdzam to atspoguļot arī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ietvaros tiek īstneoti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programmas "Izaugsme un nodarbinātība" 3.1.1. specifiskā atbalsta mērķa "Sekmēt mazo un vidējo komersantu izveidi un attīstību, īpaši apstrādes rūpniecībā un RIS3 prioritārajās nozarēs" 3.1.1.1. pasākumu "Aizdevumu garantijas" (turpmāk – 3.1.1.1. pasākums) un 13.1.1. specifiskā atbalsta mērķa "Atveseļošanas pasākumi ekonomikas nozarē" 13.1.1.1. pasākumu "MVU izveide un attīstība" (turpmāk – 13.1.1.1. pasākums) tiešo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nevienā no pasākumiem nemainās, mainās izsniedzamo garantiju apmērs, kas tiks paredzēts no Altum atmaksām, tāpēc anotācijas 1.3 sadaļa netiek precizēta, jo tiešais pasākumu finansējums nemainās.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ar informāciju par veicamajiem grozījumiem Ministru kabineta 2023. gada 5. septembra noteikumos Nr. 510 "Eiropas Savienības kohēzijas politikas programmas 2021.–2027. gadam finanšu instrumentu kopīgie īstenošanas noteikumi", kā arī aicinām papildināt Ministru kabineta sēdes protokollēmuma projektu ar atbilstošu uzdevumu sagatavot un ekonomikas ministram iesniegt izskatīšanai Ministru kabinetā attiecīgos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4.1.1. apakšsadaļā iekļautos vārdus “Darbības Programmas” ar korektu nosaukumu “Eiropas Savienības kohēzijas politikas programmas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pēc noteikumu projekta pieņemšanas 60 dienu laikā sagatavot un iesniegt Ministru kabinetā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precizēt Ministru kabineta sēdes protokollēmuma projekta 3. punktu, atsaucoties uz Attīstības finanšu institūcijas likuma 12. panta trešajā daļā ietvertajām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saskaņā ar Attīstības finanšu institūcijas likuma 12. panta trešajā daļā noteiktajām prasībām sagatavot programmas rādītāju novērtējumu un ekonomikas ministram 60 dienu laikā pēc šo noteikumu pieņemšanas dienas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saņemto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saskaņā ar Attīstības finanšu institūcijas likuma 12. panta trešajā daļā noteiktajām prasībām sagatavot programmas rādītāju novērtējumu un ekonomikas ministram 60 dienu laikā pēc šo noteikumu pieņemšanas dienas iesniegt to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Eiropas Komisija nesaskaņos Ekonomikas ministrijas piedāvātos grozījumus Eiropas Savienības kohēzijas politikas programmā 2021. - 2027.gadam, Ekonomikas ministrija veiks grozījumus šajā noteikumu projektā un 1.2.3.4. pasākuma Ministru kabineta noteikumos un ekonomikas ministram iesniegt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doto uzdevumu, atkārtoti lūdzam konkretizēt Ministru kabineta sēdes protokollēmuma projekta 4. punktā, kuros tieši Ministru kabineta noteikumos tiktu veikti grozījumi. Vienlaikus vēršam uzmanību, ka grozījumi netiek veikti noteikumu projektā, bet konkrētos noteikumos. Gadījumā, ja atsauce paredzēta tieši uz Ministru kabineta 2020. gada 16. jūnija noteikumiem Nr. 383 "Noteikumi par garantijām saimnieciskās darbības veicējiem konkurētspējas uzlabošanai" (turpmāk - noteikumi Nr. 383), lūdzam izteikt Ministru kabineta sēdes protokollēmuma projekta 4.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Eiropas Komisija nesaskaņos Ekonomikas ministrijas piedāvātos grozījumus Eiropas Savienības kohēzijas politikas programmā 2021. - 2027.gadam, Ekonomikas ministrijai sagatavot atbilstošus grozījumus Ministru kabineta 2020. gada 16. jūnija noteikumos Nr. 383 "Noteikumi par garantijām saimnieciskās darbības veicējiem konkurētspējas uzlabošanai", un ekonomikas ministram iesniegt tos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piedāvoto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Eiropas Komisija nesaskaņos Ekonomikas ministrijas piedāvātos grozījumus Eiropas Savienības kohēzijas politikas programmā 2021. - 2027.gadam, Ekonomikas ministrijai sagatavot atbilstošus grozījumus Ministru kabineta 2020. gada 16. jūnija noteikumos Nr. 383 "Noteikumi par garantijām saimnieciskās darbības veicējiem konkurētspējas uzlabošanai", un ekonomikas ministram iesniegt tos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Eiropas Komisija nesaskaņos Ekonomikas ministrijas piedāvātos grozījumus Eiropas Savienības kohēzijas politikas programmā 2021. - 2027.gadam, Ekonomikas ministrija veiks grozījumus attiecīgo pasākumu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doto uzdevumu, lūdzam konkretizēt Ministru kabineta sēdes protokollēmuma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 ir Ekonomikas ministrijas piedāvātie grozījumi Eiropas Savienības kohēzijas politikas programmā 2021.-2027. gadam, vai sniegt atbilstošu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kuros tieši Ministru kabineta noteikumos tiktu veikti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Eiropas Komisija nesaskaņos Ekonomikas ministrijas piedāvātos grozījumus Eiropas Savienības kohēzijas politikas programmā 2021. - 2027.gadam, Ekonomikas ministrijai sagatavot atbilstošus grozījumus Ministru kabineta 2020. gada 16. jūnija noteikumos Nr. 383 "Noteikumi par garantijām saimnieciskās darbības veicējiem konkurētspējas uzlabošanai", un ekonomikas ministram iesniegt tos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ALTUM garantiju piemērošanai uzņēmumu apvienošanas un iegādes (M&amp;A) un vadības izpirkšanas (MBO)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vietējā kapitāla nostiprināšanos un uzņēmējdarbības nepārtrauktību, nepieciešams paplašināt ALTUM garantiju piemērojamību arī uz uzņēmumu apvienošanas un iegādes (M&amp;A), kā arī vadības izpirkšanas (MBO) darījumiem. Šobrīd normatīvais regulējums ierobežo atbalsta piemērošanu tikai tiem M&amp;A darījumiem, kuru rezultātā ir iespējams tieši pierādīt biznesa paplašināšanos.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izslēdz darījumus, kuru mērķis ir esošā uzņēmuma restrukturizācija vai īpašnieku maiņa bez tūlītēja mēroga pieauguma, piemēram, vietējo dalībnieku vēlme izpirkt ārvalstu kapitālu ar mērķi kļūt par 100% Latvijas kapitāla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normatīvo regulējumu, paredzot, ka ALTUM garantijas var piemērot arī šādiem pārņemšanas darījumiem, ja tiek nodrošināta uzņēmuma dzīvotspēja, nodarbinātības saglabāšana un ekonomiskās aktivitātes turpināšanās Latvijā, neizvirzot obligātu nosacījumu par tūlītēju biznesa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paplašināt ALTUM atbalstu nekustamā īpašuma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esošie Ministru kabineta noteikumi izslēdz iespēju piešķirt ALTUM garantijas darbībām nekustamā īpašuma jomā (NACE 68.1, 68.31, 68.32), izņemot konkrētus gadījumus ārpus Rīgas un tai piegulošo novadu teritorijām. Tas būtiski ierobežo iespējas attīstīt projektus, kas vērsti uz daudzdzīvokļu ēku un komercobjektu būvniecību, iegādi un refinansēšanu.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dzīvokļu deficītu un augošās cenas, kā arī Latvijas potenciālu loģistikas, biroju un citu komerctelpu attīstībā, ir pamatoti pārskatīt ALTUM atbalsta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ALTUM garantiju piemērošanas iespējas nekustamā īpašuma nozarē, atbalstot: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Daudzīvokļu ēku būvniecību, iegādi un refinansēšanu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Komercobjektu attīstību (t.sk. loģistikas centri, biroju ēkas u.c.), kas ir stratēģiski nozīmīgi tautsaimniecības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 tikai veicinātu jaunu dzīvojamo un komerciālo objektu attīstību, bet arī stimulētu kreditēšanu un privāto investīciju piesaisti reģionos, kur šobrīd attīstība atpaliek no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esošajā noteikumu projektā redakcijā ir noņemts ierobežojums M&amp;A darījumiem. Precizētajā MK noteikumu projektā (t.sk. sākotnējā TAP redakcijā) norma precizēta un izteika šādā redakcijā: “16.10. kapitālsabiedrību kapitāla daļu iegādei, ja šīs darbības tiek finansētās 1.2.3.4. pasākuma ietvaros;”. Līdz ar grozījumiem, M&amp;A un MBO darījumi ir atbalstāmi no šajos noteikumos minētā atmaksātā publiskā finansējuma. Līdzšinējā redakcija “16. garantiju nepiešķir (..) 16.10 kapitālsabiedrību kapitāla daļu iegādei, izņemot gadījumus, ja šīs darbības rezultātā tiek nodrošināta saimnieciskās darbības veicēja attīstība vai darbības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jau šobrīd ar ALTUM garantiju ir iespējams attīstīt un ar garantiju finansēt Daudzīvokļu ēku būvniecību, atjaunošanu, pārbūvi un iegādi un visā Latvijas teritorijā ārpus valstspilsētām. Tāpat skaidrojam, ka ar garantiju nav aizliegts finansēt būvniecības projektus, tai skaitā ražošanas un komerciālu ēku būvniecību. Vienlaikus vēršam uzmanību, ka FNA izteiktais priekšlikums šis ir EM kā politikas veidotāja jautājums, jo neizriet no valsts atbalsta regulām vai struktūrfondu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svītrots 1.2.2.2. pasākums, kā arī pārdalīts tam pieejamais finansējums, lūdzam atbildīgo iestādi virzīt grozījumus Ministru kabineta 2023.gada 5.septembra noteikumos Nr.510 "Eiropas Savienības kohēzijas politikas programmas 2021.–2027. gadam finanšu instrumentu kopīgie īstenošanas noteikumi", lai nodrošinātu informācijas saskaņotību par pasākumiem, kurus paredzēts īstenot finanšu instrumentu veidā, kā arī šiem pasākumiem plānoto un pieejamo finansējumu, tā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grozījumi Ministru kabineta 2023.gada 5.septembra noteikumos Nr.510 "Eiropas Savienības kohēzijas politikas programmas 2021.–2027. gadam finanšu instrumentu kopīgie īstenošanas noteikumi" šobrīd atrodas sabiedriskajā līdzdalībā, līdz ar to grozījumu process drīzumā arī tiks uzsākts.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Garantijas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un kā atbalstu saskaņā ar Komisijas Regula (ES) Nr. 651/2014 ( 2014. gada 17. jūnijs ), ar ko noteiktas atbalsta kategorijas atzīst par saderīgām ar iekšējo tirgu, piemērojot Līguma 107. un 108. pantu ( turpmāk – Komisijas regula Nr. 561/2014).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3. punktu un ar to ieviesto atsauci uz Komisijas 2014. gada 17. jūnija Regulu (ES) Nr. 651/2014, ar ko noteiktas atbalsta kategorijas atzīst par saderīgām ar iekšējo tirgu, piemērojot Līguma 107. un 108.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2014. gada 17. jūnija Regulu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Garantijas sniedz kā de minimis atbalstu saskaņā ar Komisijas 2023. gada 13. decembra Regulu (ES) Nr. 2023/2831 par Līguma par Eiropas Savienības darbību 107. un 108. panta piemērošanu de minimis atbalstam (turpmāk – Komisijas regula Nr. 2023/2831) un kā atbalstu saskaņā ar Komisijas 2014. gada 17. jūnija Regulu (ES) Nr. 651/2014, ar ko noteiktas atbalsta kategorijas atzīst par saderīgām ar iekšējo tirgu, piemērojot Līguma 107. un 108. pantu (turpmāk - Komisijas regula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Garantijas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kā atbalstu saskaņā ar Komisijas 2014. gada 17. jūnija Regulu (ES) Nr. 651/2014,  ar ko noteiktas atbalsta kategorijas atzīst par saderīgām ar iekšējo tirgu, piemērojot Līguma 107. un 108. pantu ( turpmāk – Komisijas regula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ietvert atsauces uz finansējuma punktiem, lai būtu skaidrs, kādas garantijas tiek segtas no kādiem finansējuma avotiem, tajā skaitā, lai būtu viennozīmīgi skaidri noteikts, ka Eiropas Reģionālās attīstības fonda1.2.3.4.pasākuma ietvaros finansējums netiks sniegts lielajiem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4</w:t>
            </w:r>
            <w:r w:rsidR="00000000" w:rsidRPr="00000000" w:rsidDel="00000000">
              <w:rPr>
                <w:vertAlign w:val="superscript"/>
                <w:rtl w:val="0"/>
              </w:rPr>
              <w:t xml:space="preserve">1</w:t>
            </w:r>
            <w:r w:rsidR="00000000" w:rsidRPr="00000000" w:rsidDel="00000000">
              <w:rPr>
                <w:rtl w:val="0"/>
              </w:rPr>
              <w:t xml:space="preserve"> punkts jau atrunā - mazajiem vidējās kapitalizācijas un vidējās kapitalizācijas saimnieciskās darbības veicējiem ir pieejama garantija tikai 1.2.3.4.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Latvijas mazo un vidējo komersantu mikrokreditēšanas programmas atmaksu publiskais finansējums – 595 050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Ekonomikas ministrijas izvērtējumu par noteikumu plānotā 7.6.apakšpunkta atbilstību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45.panta nosacījumiem par līdzekļu atkārtotu izmantošanu pēc atbilstības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14-20 finansējuma atmaksas plānots izmanot tajā pašā programmā, Ekonomikas ministrija piedāvā, ka minēto 14-20 atmaksu finansējumu var izmantot ari lielo komersantu finansēšanai, jo 1303/13 regula skaidri to nepasaka, ka atmaksas ir aizliegtas izmantot lielo komersantu finansēšanai. "izmanto atbilstoši programmas vai programmu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 " Minēto finansējumu plānots izmantot šajā paša finanšu instrumentā, kas nepārkāpj regulas prasības un risina to pašu tirgus nepilnību. Jo regulas 45.panta minētās 1) policy objectives ir plašākas nekā saņēmēju mērķa grupa. 2) programma regulas izpratnē ir Darbības programma LV 2014-2020 nevis konkrētā atbalsta programma; 3) darbības programmā bija iespēja arī lielajiem saņemt atbalstu piemēram grantos ; 4) iespēja pārvietot finansējumu gan citiem FI, gan vispār cita veida atbalstiem. Tā ka galvenais ir atrast darbības programmā 2014-2020 politikas mērķi (produktivitāte, darba vietas, konkurētspēja, u.tml.), ar ko var pamatot nepieciešamību saņemt lielajiem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Latvijas mazo un vidējo komersantu mikrokreditēšanas programmas atmaksu publiskais finansējums – 595 050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 sabiedrība “Altum” 2014. – 2020. gada Eiropas Savienības fondu plānošanas perioda ERAF atmaksātā publiskā finansējuma līdz 15 000 000 euro, ja bruto subsīdijas ekvivalents darījumiem tiek aprēķināts saskaņā ar Komisijas regulas Nr. 2023/2831 4. panta 6. punkta "c" apakšpunktu un  pārsniedz 10 000 000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7.6. punkta redakciju, neiekļaujot atsauci uz a) atbalsta veidu (jo arī ar regulu 651/2014  būtu iespējams sniegt atbalstu), kā arī uz b) subsīdijas ekvivalentu, jo tas jau minēts citās normās, kā arī c) precizējot, ka 10 000 000  attiecas uz garantijas apmēru, piemēram, nosakot, ka " sabiedrība “Altum” 2014. – 2020. gada Eiropas Savienības fondu plānošanas perioda ERAF atmaksātā publiskā finansējuma līdz 15 000 000 euro, ja garantijas apmērs  pārsniedz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Latvijas mazo un vidējo komersantu mikrokreditēšanas programmas atmaksu publiskais finansējums – 595 050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Iesniedzot projekta pieteikumu sabiedrībā "Altum" atbalsta saņemšanai militāriem projektiem, iesniedz arī Aizsardzības ministrijas atzinumu par pieteiktā produkta atbilstību drošības un aizsardzības jomā. Lai nodrošinātu piešķirtā atbalsta atbilstību šiem noteikumiem, sabiedrībai "Altum" ir tiesības datus un projektu nodot Aizsardzības ministrijai, savukārt Aizsardzības ministrijai ir tiesības datus par gala saņēmēju un projektu nodot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uz kādu kategoriju datu nodošanu atsaucas noteikumu Nr. 383 plānotajā 5.</w:t>
            </w:r>
            <w:r w:rsidR="00000000" w:rsidRPr="00000000" w:rsidDel="00000000">
              <w:rPr>
                <w:vertAlign w:val="superscript"/>
                <w:rtl w:val="0"/>
              </w:rPr>
              <w:t xml:space="preserve">4</w:t>
            </w:r>
            <w:r w:rsidR="00000000" w:rsidRPr="00000000" w:rsidDel="00000000">
              <w:rPr>
                <w:rtl w:val="0"/>
              </w:rPr>
              <w:t xml:space="preserve"> punktā. Gadījumā, ja minētie dati var saturēt arī fizisko personu datus, lūdzam saskaņot noteikumu projektu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anotācijā, kāda ir Aizsardzības ministrijas loma piešķirtā atbalsta atbilstības noteikumiem Nr. 383 nodrošināšanā, tostarp kontekstā ar noteikumu Nr. 383 plānotajā 5.</w:t>
            </w:r>
            <w:r w:rsidR="00000000" w:rsidRPr="00000000" w:rsidDel="00000000">
              <w:rPr>
                <w:vertAlign w:val="superscript"/>
                <w:rtl w:val="0"/>
              </w:rPr>
              <w:t xml:space="preserve">6</w:t>
            </w:r>
            <w:r w:rsidR="00000000" w:rsidRPr="00000000" w:rsidDel="00000000">
              <w:rPr>
                <w:rtl w:val="0"/>
              </w:rPr>
              <w:t xml:space="preserve"> punktā noteikto, ņemot vērā, ka atbilstoši anotācijā sniegtajai informācijai un noteikumu projektā paredzētajam Aizsardzības ministrija tikai </w:t>
            </w:r>
            <w:r w:rsidR="00000000" w:rsidRPr="00000000" w:rsidDel="00000000">
              <w:rPr>
                <w:u w:val="single"/>
                <w:rtl w:val="0"/>
              </w:rPr>
              <w:t xml:space="preserve">sniedz atzinumu</w:t>
            </w:r>
            <w:r w:rsidR="00000000" w:rsidRPr="00000000" w:rsidDel="00000000">
              <w:rPr>
                <w:rtl w:val="0"/>
              </w:rPr>
              <w:t xml:space="preserve"> par pieteiktā produkta atbilstību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arī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punktā 5 prim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Saimnieciskās darbības veicējs, iesniedzot projekta pieteikumu sabiedrībā "Altum" atbalsta saņemšanai militāriem projektiem, iesniedz arī Aizsardzības ministrijas atzinumu par militārā projekta atbilstību drošības interesēm. Pēc atzinuma par militārā projekta atbilstību drošības interesēm, kas saistītas ar ieroču, munīcijas un militārā aprīkojuma ražošanu, saņemšanas, saimnieciskās darbības veicējs to iesniedz sabiedrībai “Altum”, kura garantijas pieteikumu vērtē kopā ar saņemto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Aizsardzības ministrija 20 darbdienu laikā pēc iesnieguma saņemšanas izsniedz šo noteikumu 5.3 punktā minēto atzinumu. Aizsardzības ministrija var pagarināt atzinuma izsniegšanas termiņu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noteikumu Nr. 383 plānotajā 5.</w:t>
            </w:r>
            <w:r w:rsidR="00000000" w:rsidRPr="00000000" w:rsidDel="00000000">
              <w:rPr>
                <w:vertAlign w:val="superscript"/>
                <w:rtl w:val="0"/>
              </w:rPr>
              <w:t xml:space="preserve">5</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kurš subjekts iesniedz Aizsardzības ministrijā iesniegumu, un kam Aizsardzības ministrija iesniedz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 tiek iesniegts iesniegums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minēto punktu, ņemot vērā, ka atsauce uz 5.</w:t>
            </w:r>
            <w:r w:rsidR="00000000" w:rsidRPr="00000000" w:rsidDel="00000000">
              <w:rPr>
                <w:vertAlign w:val="superscript"/>
                <w:rtl w:val="0"/>
              </w:rPr>
              <w:t xml:space="preserve">3</w:t>
            </w:r>
            <w:r w:rsidR="00000000" w:rsidRPr="00000000" w:rsidDel="00000000">
              <w:rPr>
                <w:rtl w:val="0"/>
              </w:rPr>
              <w:t xml:space="preserve"> punktu nav korekta, jo attiecīgajā normā tiek regulēts jautājums par darbu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šo noteikumu </w:t>
            </w:r>
            <w:r w:rsidR="00000000" w:rsidRPr="00000000" w:rsidDel="00000000">
              <w:rPr>
                <w:rtl w:val="0"/>
              </w:rPr>
              <w:t xml:space="preserve">7.9.</w:t>
            </w:r>
            <w:r w:rsidR="00000000" w:rsidRPr="00000000" w:rsidDel="00000000">
              <w:rPr>
                <w:rtl w:val="0"/>
              </w:rPr>
              <w:t xml:space="preserve"> apakšpunktā</w:t>
            </w:r>
            <w:r w:rsidR="00000000" w:rsidRPr="00000000" w:rsidDel="00000000">
              <w:rPr>
                <w:rtl w:val="0"/>
              </w:rPr>
              <w:t xml:space="preserve"> minēto finansējumu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arī īsu skaidrojumu par jauno piedāvāto grozījumu - noteikumu 7.</w:t>
            </w:r>
            <w:r w:rsidR="00000000" w:rsidRPr="00000000" w:rsidDel="00000000">
              <w:rPr>
                <w:vertAlign w:val="superscript"/>
                <w:rtl w:val="0"/>
              </w:rPr>
              <w:t xml:space="preserve">1</w:t>
            </w:r>
            <w:r w:rsidR="00000000" w:rsidRPr="00000000" w:rsidDel="00000000">
              <w:rPr>
                <w:rtl w:val="0"/>
              </w:rPr>
              <w:t xml:space="preserve"> punkta par Eiropas Savienības struktūrfondu un Kohēzijas fonda 2014. - 2020. gada plānošanas perioda garantiju pasākumu rādītāju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tehniskajiem precizējumiem norādīta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banku garantijas (tai skaitā konkursa, avansa maksājuma, maksājuma izpildes vai laika garantijas), banku garantiju limiti, kredītvēstule.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iesakām precizēt banku garantiju definīciju. To nesenskaņojām Altum portfeļgarantijas regulējošo MK noteikumu grozījumu sakarā. Piedāvājam šajos MK noteikumos identiskas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8.5.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banku garantiju (tai skaitā konkursa, avansa maksājuma, saistību izpildes nodrošinājuma, ieturējuma naudas garantijai, maksājuma izpildes vai garantijas laika garantiju), banku garantiju limitiem vai kredītvēstuli, banku kredītvēstuļu limitiem."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8.5.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banku garantiju (tai skaitā konkursa, avansa maksājuma, saistību izpildes nodrošinājuma, ieturējuma naudas garantijai, maksājuma izpildes vai garantijas laika garantiju), banku garantiju limitiem vai kredītvēstuli, banku kredītvēstuļu limitiem."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banku garantiju (tai skaitā konkursa, avansa maksājuma, saistību izpildes nodrošinājuma, ieturējuma naudas garantijai, maksājuma izpildes vai garantijas laika garantiju), banku garantiju limitiem vai kredītvēstuli, banku kredītvēstuļu limitiem."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sīkajam (mikro), mazajam un vidējam saimnieciskās darbības veicējam un ar to saistīto personu grupai atbilstoši Komisijas regulas Nr. 2023/2831 2. panta 2. punkta definīcijai 25 000 000 euro, ja bruto subsīdijas ekvivalents tiek aprēķināts saskaņā ar Komisijas Regulas (ES) Nr. 2023/28314. panta 6. punkta "c" apakšpunktu,  un garantijas sākotnējais termiņš nepārsniedz 10 gadus, vai ja saimnieciskās darbības veicējam un ar to saistīto personu grupai atbilstoši Komisijas regulas Nr. 651/2014 3. panta 3. punkta definīcijai nav pieejams de minimis limits vismaz atbalsta subsīdijas ekvivalenta apmērā garantija tiek sniegta kā reģionālais atbalstu saskaņā ar Komisijas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visu noteikumu 12.punktu, jo tas ietver nosacījumu par garantijas summu, piemērojot gan de minimis regulējumu, gan Komisijas 2014.gada 17.jūnija Regulu (ES) Nr.651/2014, ar ko noteiktas atbalsta kategorijas atzīst par saderīgām ar iekšējo tirgu, piemērojot Līguma 107. un 108.pantu (turpmāk – Komisijas regula Nr.651/2014). Vēršam uzmanību, ka, piemērojot Komisijas 2023.gada 13.decembra Regulu (ES) 2023/2831 par Līguma par Eiropas Savienības darbību 107. un 108.panta piemērošanu de minimis atbalstam, atbalstu vērtē viena vienota uzņēmuma līmenī, t.sk., sniedzot atsauci uz minētās regulas 2. panta 2. punkta definīciju (viens vienots uzņēmums). Savukārt, izvērtējot atbalsta, kuru piešķir ar Regulu Nr.651/2014, pieteikumu, nosacījumi tiek vērtēti saistīto uzņēmumu izpratnē, kur definīcija noteikta Komisijas regulas Nr.651/2014 I pielikuma 3. panta 3. punktā. Lūdzam skaidri 12.punkta sākumā un visos 12.punkta apakšpunktos korekti iekļaut atbilstošā piemērojamā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saskaņā ar izteikto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sīkajam (mikro), mazajam un vidējam saimnieciskās darbības veicējam un ar to saistīto personu grupai 25 000 000 euro, ja atbalsts tiek sniegts kā de minimis un bruto subsīdijas ekvivalents tiek aprēķināts saskaņā ar Komisijas Regulas (ES) Nr. 2023/28314. panta 6. punkta "c" apakšpunktu,  un garantijas sākotnējais termiņš nepārsniedz 10 gadus, vai ja saimnieciskās darbības veicējam un ar to saistīto personu grupai nav pieejams de minimis limits vismaz atbalsta subsīdijas ekvivalenta apmērā un garantija tiek sniegta kā reģionālais atbalstu saskaņā ar Komisijas regulas Nr. 651/2014 14.pantu;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nemateriālie aktīvi atbilst Komisijas regulas Nr. 651/2014 14. panta 8. punktā minētajiem nosacījumiem. Lielajiem komersantiem nemateriālos aktīvus var finansēt līdz 50 % no sākotnējo ieguldījumu kopējām attiecināmajām ieguldījumu izmaksām. Sīkajiem (mikro), mazajiem vai vidējiem komersantiem nemateriālos aktīvus var finansēt 100 %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programmas ietvaros atbalsta instruments ir garantija, lūdzam noteikumu 12.</w:t>
            </w:r>
            <w:r w:rsidR="00000000" w:rsidRPr="00000000" w:rsidDel="00000000">
              <w:rPr>
                <w:vertAlign w:val="superscript"/>
                <w:rtl w:val="0"/>
              </w:rPr>
              <w:t xml:space="preserve">1</w:t>
            </w:r>
            <w:r w:rsidR="00000000" w:rsidRPr="00000000" w:rsidDel="00000000">
              <w:rPr>
                <w:rtl w:val="0"/>
              </w:rPr>
              <w:t xml:space="preserve">4. apakšpunktu precizēt atbilstoši plānotajam, proti, piemēram, vārda "finansēt" vietā lietot vārdus "aizdevums, par kuru sniegta garantija", vienlaikus redakcionāli pielāgojot arī pārējo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nemateriālie aktīvi atbilst Komisijas regulas Nr. 651/2014 14. panta 8. punktā minētajiem nosacījumiem. Lielajiem saimnieciskās darbības veicējiem nemateriālos aktīvus var finansēt aizdevums, par kuru sniegta garantija līdz 50 % no sākotnējo ieguldījumu kopējām attiecināmajām ieguldījumu izmaksām. Sīkajiem (mikro), mazajiem vai vidējiem saimnieciskās darbības veicējiem nemateriālos aktīvus var finansēt 100 %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 Komisijas regulas Nr. 651/2014 13. panta "a" un "b" punktā noteiktajām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16.23.1.apakšpuntā iekļautais, ka komersants, tai skaitā vērtējot saistītās grupas līmenī, nav uzskatāms par grūtībās nonākušu uzņēmumu saskaņā ar Regulas Nr. 651/2014 2. panta 18. punktu, nav attiecināms uz nozaru ierobežojošajiem nosacījumiem Aicinām precizēt noteikumu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Pārcelts uz 12.</w:t>
            </w:r>
            <w:r w:rsidR="00000000" w:rsidRPr="00000000" w:rsidDel="00000000">
              <w:rPr>
                <w:vertAlign w:val="superscript"/>
                <w:rtl w:val="0"/>
              </w:rPr>
              <w:t xml:space="preserve">1</w:t>
            </w:r>
            <w:r w:rsidR="00000000" w:rsidRPr="00000000" w:rsidDel="00000000">
              <w:rPr>
                <w:rtl w:val="0"/>
              </w:rPr>
              <w:t xml:space="preserve">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 Komisijas regulas Nr. 651/2014 13. panta "a" un "b" punktā noteiktajām 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3.3. ja uz to un ar to saistītu personu grupu atbilstoši Komisijas regulas Nr. 651/2014 3. panta 3. punkta definīcijai attiecas šīs regulas 1.panta 4.punktā minētais līdzekļu atgūšanas rīkojums saskaņā ar iepriekšēju Komisijas lēmumu, ar ko atbalsts, kuru piešķīrusi tā pati dalībvalsts,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16.</w:t>
            </w:r>
            <w:r w:rsidR="00000000" w:rsidRPr="00000000" w:rsidDel="00000000">
              <w:rPr>
                <w:vertAlign w:val="superscript"/>
                <w:rtl w:val="0"/>
              </w:rPr>
              <w:t xml:space="preserve">2</w:t>
            </w:r>
            <w:r w:rsidR="00000000" w:rsidRPr="00000000" w:rsidDel="00000000">
              <w:rPr>
                <w:rtl w:val="0"/>
              </w:rPr>
              <w:t xml:space="preserve">3.3.apakšpuntā iekļautais nosacījums, kas izriet no Komisijas regulas Nr. 651/2014 1.panta 4. punkta par neizpildītu līdzekļu atgūšanas rīkojumu saskaņā ar iepriekšēju Komisijas lēmumu (vērtējot saistīto uzņēmumu grupas līmenī), nav attiecināms uz nozaru ierobežojošajiem nosacījumiem ("16.</w:t>
            </w:r>
            <w:r w:rsidR="00000000" w:rsidRPr="00000000" w:rsidDel="00000000">
              <w:rPr>
                <w:vertAlign w:val="superscript"/>
                <w:rtl w:val="0"/>
              </w:rPr>
              <w:t xml:space="preserve">2</w:t>
            </w:r>
            <w:r w:rsidR="00000000" w:rsidRPr="00000000" w:rsidDel="00000000">
              <w:rPr>
                <w:rtl w:val="0"/>
              </w:rPr>
              <w:t xml:space="preserve"> Ja garantija tiek piešķirta saskaņā ar Regulas Nr. 651/2014 14.pantu, garantiju nepiešķir šādām darbībām un nozarēm:"), tādējādi lūdzam šo nosacījumu izdalīt atsevišķi no noteikumu projekta 16.</w:t>
            </w:r>
            <w:r w:rsidR="00000000" w:rsidRPr="00000000" w:rsidDel="00000000">
              <w:rPr>
                <w:vertAlign w:val="superscript"/>
                <w:rtl w:val="0"/>
              </w:rPr>
              <w:t xml:space="preserve">2</w:t>
            </w:r>
            <w:r w:rsidR="00000000" w:rsidRPr="00000000" w:rsidDel="00000000">
              <w:rPr>
                <w:rtl w:val="0"/>
              </w:rPr>
              <w:t xml:space="preserve">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16.</w:t>
            </w:r>
            <w:r w:rsidR="00000000" w:rsidRPr="00000000" w:rsidDel="00000000">
              <w:rPr>
                <w:vertAlign w:val="superscript"/>
                <w:rtl w:val="0"/>
              </w:rPr>
              <w:t xml:space="preserve">2</w:t>
            </w:r>
            <w:r w:rsidR="00000000" w:rsidRPr="00000000" w:rsidDel="00000000">
              <w:rPr>
                <w:rtl w:val="0"/>
              </w:rPr>
              <w:t xml:space="preserve">3.3. apakšpunkta redakciju, norādot precīzu atsauci uz saistīto personu grupas definīciju, kas noteikta Komisijas regulas Nr. 651/2014</w:t>
            </w:r>
            <w:r w:rsidR="00000000" w:rsidRPr="00000000" w:rsidDel="00000000">
              <w:rPr>
                <w:b w:val="1"/>
                <w:rtl w:val="0"/>
              </w:rPr>
              <w:t xml:space="preserve"> I pielikuma</w:t>
            </w:r>
            <w:r w:rsidR="00000000" w:rsidRPr="00000000" w:rsidDel="00000000">
              <w:rPr>
                <w:rtl w:val="0"/>
              </w:rPr>
              <w:t xml:space="preserve"> 3. panta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18.1.apakšpunktu tā, lai skaidrs, ka 18.1.apakšpunkts attiecas uz de minimis atbalstu, jo attiecībā uz Regulas Nr.651/2014 gadījumiem grūtībās nonākušu uzņēmumu kritērijs ir iekļauts noteikumu 16.</w:t>
            </w:r>
            <w:r w:rsidR="00000000" w:rsidRPr="00000000" w:rsidDel="00000000">
              <w:rPr>
                <w:vertAlign w:val="superscript"/>
                <w:rtl w:val="0"/>
              </w:rPr>
              <w:t xml:space="preserve">2</w:t>
            </w:r>
            <w:r w:rsidR="00000000" w:rsidRPr="00000000" w:rsidDel="00000000">
              <w:rPr>
                <w:rtl w:val="0"/>
              </w:rPr>
              <w:t xml:space="preserve">3.1.apakšpunktā.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atbalsts tiek piešķirts ar de minimis un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Garantijas prēmijas un subsīdijas ekvivalenta aprēķināšana un valsts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pretendenta atbilstību atbalsta programmā noteiktajiem de minimis nosacījumiem ir jāvērtē uz atbalsta piešķiršanas brīdi. Ņemot vērā iepriekš minēto, lūdzam papildināt noteikumu projektu ar normu, kas nosaka, ka atbalsta sniedzējs veic saimnieciskās darbības veicēja izvērtēšanu atbilstoši Komisijas regulas Nr. 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20.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Garantijas prēmijas un subsīdijas ekvivalenta aprēķināšana un valsts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Piesakoties atbalstam,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1.jūlijā stājušies spēkā grozījumi Ministru kabineta 2018. gada 21. novembra noteikumos Nr. 715 "De minimis atbalsta uzskaites un piešķiršanas kārtība", lūdzam precizēt noteikumu 23.punktu un svītrot vārdus "un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Piesakoties de minimis atbalstam, saimnieciskās darbības veicējs sniedz informāciju par iepriekš saņemto de minimis atbalstu, ievērojot normatīvos aktus par de minimis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saimnieciskās darbības veicējs ir sadalīts, saņemto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saņemtā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(ES) 2023/2831 par Līguma par Eiropas Savienības darbību 107. un 108. panta piemērošanu de minimis atbalstam (turpmāk – Komisijas regula Nr. 2023/2831) 3. panta 9. punktā noteiktajam, atbalsta sniedzējam ir pienākums pārbaudīt piešķirtā, nevis faktiski saņemtā atbalsta apjomu. Lai nodrošinātu atbilstību Komisijas regulai Nr. 2023/2831, aicinām noteikumu 26.2. apakšpunktā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saimnieciskās darbības veicējs ir sadalīts,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piešķirtā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Ievērojot Komisijas regulas Nr. </w:t>
            </w:r>
            <w:r w:rsidR="00000000" w:rsidRPr="00000000" w:rsidDel="00000000">
              <w:rPr>
                <w:rtl w:val="0"/>
              </w:rPr>
              <w:t xml:space="preserve">2023/2831</w:t>
            </w:r>
            <w:r w:rsidR="00000000" w:rsidRPr="00000000" w:rsidDel="00000000">
              <w:rPr>
                <w:rtl w:val="0"/>
              </w:rPr>
              <w:t xml:space="preserve">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noteiktajam robežlielumam, kā arī drīkst apvienot ar citu valsts atbalstu attiecībā uz vienām un tām pašām attiecināmajām izmaksām vai citu valsts atbalstu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kumulācijas prasību ievērošanu, kas izriet no Komisijas regulas Nr. 2023/2831 5. panta nosacījumiem, aicinām precizēt noteikumu projekta 30. punktu. Lūdzam skatīt piedāvātās redakcijas piemēru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 2023/2831 5. pantā minētos nosacījumus, šo noteikumu ietvaros piešķirto de minimis atbalstu drīkst apvienot ar citu de minimis atbalstu, </w:t>
            </w:r>
            <w:r w:rsidR="00000000" w:rsidRPr="00000000" w:rsidDel="00000000">
              <w:rPr>
                <w:i w:val="1"/>
                <w:rtl w:val="0"/>
              </w:rPr>
              <w:t xml:space="preserve">tai skaitā attiecībā uz vienām un tām pašām attiecināmajām izmaksām</w:t>
            </w:r>
            <w:r w:rsidR="00000000" w:rsidRPr="00000000" w:rsidDel="00000000">
              <w:rPr>
                <w:rtl w:val="0"/>
              </w:rPr>
              <w:t xml:space="preserve">, līdz Komisijas regulas Nr. 2023/2831 3. panta 2. punktā noteiktajam robežlielumam, kā arī drīkst apvienot ar citu valsts atbalstu,</w:t>
            </w:r>
            <w:r w:rsidR="00000000" w:rsidRPr="00000000" w:rsidDel="00000000">
              <w:rPr>
                <w:i w:val="1"/>
                <w:rtl w:val="0"/>
              </w:rPr>
              <w:t xml:space="preserve"> tai skaitā </w:t>
            </w:r>
            <w:r w:rsidR="00000000" w:rsidRPr="00000000" w:rsidDel="00000000">
              <w:rPr>
                <w:rtl w:val="0"/>
              </w:rPr>
              <w:t xml:space="preserve">attiecībā uz vienām un tām pašām attiecināmajām izmaksām vai citu valsts atbalstu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Ievērojot Komisijas regulas Nr. 2023/2831 5. pantā minētos nosacījumus, šo noteikumu ietvaros piešķirto de minimis atbalstu drīkst apvienot ar citu de minimis atbalstu, tai skaitā attiecībā uz vienām un tām pašām attiecināmajām izmaksām,  līdz Komisijas regulas Nr. 2023/2831 3. panta 2. punktā noteiktajam robežlielumam, kā arī drīkst apvienot ar citu valsts atbalstu attiecībā uz vienām un tām pašām attiecināmajām izmaksām vai citu valsts atbalstu, tai skaitā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līdz Komisijas regulas Nr. 651/2014  darbības beigām saskaņā ar šīs regulas 59.pantu.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plānoto 40.2. apakšpunktu ar atsauci uz Komisijas regulas Nr. 651/2014 58. panta 4. punktu, lai atspoguļotu to, ka atbalstu vēl var piešķirt 6 mēnešu ilgā pielāgošanās periodā pēc minētās regulas 59.punktā minētā piemēšanas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līdz Komisijas regulas Nr. 651/2014  darbības beigām saskaņā ar šīs regulas 59.pantu un saskaņā ar Komisijas regulas Nr. 651/2014 58. panta 4. 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25-TA-400</w:t>
    </w:r>
    <w:r>
      <w:br/>
    </w:r>
    <w:r w:rsidR="00000000" w:rsidRPr="00000000" w:rsidDel="00000000">
      <w:rPr>
        <w:rtl w:val="0"/>
      </w:rPr>
      <w:t xml:space="preserve">25.07.2025. 11.41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25-TA-400</w:t>
    </w:r>
    <w:r>
      <w:br/>
    </w:r>
    <w:r w:rsidR="00000000" w:rsidRPr="00000000" w:rsidDel="00000000">
      <w:rPr>
        <w:rtl w:val="0"/>
      </w:rPr>
      <w:t xml:space="preserve">25.07.2025. 11.41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Izziņa_25-TA-400.docx</dc:title>
</cp:coreProperties>
</file>

<file path=docProps/custom.xml><?xml version="1.0" encoding="utf-8"?>
<Properties xmlns="http://schemas.openxmlformats.org/officeDocument/2006/custom-properties" xmlns:vt="http://schemas.openxmlformats.org/officeDocument/2006/docPropsVTypes"/>
</file>