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24. maija noteikumos Nr. 323 "Darbības programmas "Izaugsme un nodarbinātība" 8.1.2. specifiskā atbalsta mērķa "Uzlabot vispārējās izglītības iestāžu mācību vidi"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1.1.sadaļas apakšsadaļu “Apraksts” ar atsauci uz Eiropas Savienības struktūrfondu un Kohēzijas fonda 2014. – 2020.gada plānošanas perioda vadības likuma 20.panta 6.punktu kā vienu no normām, uz kuru pamata izdots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8.1.2. specifiskā atbalsta mērķa „Uzlabot vispārējās izglītības iestāžu mācību vidi” ietvaros netiek piemērots neviens no vienkāršoto izmaksu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precizēts Ministru kabineta noteikumu Nr.323 izdošanas tiesiskais pamats, svītrojot atsauci uz Eiropas Savienības struktūrfondu un Kohēzijas fonda 2014.–2020. gada plānošanas perioda vadības likuma 20. panta 6. punktu, un tiek svītrots Ministru kabineta noteikumu Nr.323 1.6.apakšpunkts.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apakšsadaļā “Risinājuma apraksts” norādīts, ka finansējuma saņēmējam ir pienākums glabāt projekta iesnieguma atvasinājumu un ar projekta īstenošanu un darbībām infrastruktūras amortizācijas periodā saistīto dokumentu oriģinālus vai normatīvajos aktos par dokumentu izstrādāšanu un noformēšanu noteiktajā kārtībā apliecinātas to kopijas visu infrastruktūras amortizācijas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kāds infrastruktūras amortizācijas periods ir norādīts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8.1.2. specifiskā atbalsta mērķa „Uzlabot vispārējās izglītības iestāžu mācību vidi” ietvaros modernizētās infrastruktūras amortizācijas periods jau ir iepriekš noteikts noteikumu projekta anotācijas 1.3.sadaļas apakšsadaļā “Risinājuma apraksts”. 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Pamatlīdzekļu un ilgtermiņa ieguldījumu amortizācijas periods – projekta ietvaros modernizēto aktīvu lietderīgās lietošanas laiks, kuru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2018. gada 13. februāra noteikumu Nr. 87 „Grāmatvedības uzskaites kārtība budžeta iestādēs” 2. pielikumā „Pamatlīdzekļu kategorijas, grupas un apakšgrupas nolietojuma normu noteikšanai” noteiktajam laikam (lietderīgās lietošanas laiks tehnoloģiskām iekārtām, mēraparatūrai, regulēšanas ierīcēm, laboratoriju un medicīnas iekārtām – 10 gadi, datortehnikai –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(ievērojot, ka izglītības (vispārējās) nozare minētajā pielikumā nav noteikta, tad specifiskā atbalsta projektu ietvaros veiktajiem būvdarbiem tiek piemērota citām nozarēm noteiktais projekta dzīves cikla periods - 15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2.1.sadaļas apakšsadaļā “Juridiskās personas” ir norādīta Centrālā finanšu un līgumu aģentūra un specifiskā atbalsta saņēmēji kā sabiedrības grupas, kuras tiesiskais regulējums ietekmē vai varētu ietekmēt, lūdzam noteikumu projekta anotācijā atbilstoši aizpildīt arī 2.1.sadaļas apakšsadaļu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 noteikumu projektu plānotos grozījumus saistībā ar būvniecības veikšanu un darbībām pamatlīdzekļu un ilgtermiņa ieguldījumu amortizācijas periodā, kā arī noteikumu projekta anotācijas 1.2. un 1.3.sadaļā iekļauto informāciju, lūdzam noteikumu projekta anotāciju papildināt ar informāciju par to, kāds ir paredzētais pamatlīdzekļu un ilgtermiņa ieguldījumu amortizācijas periods veiktajai būvniecībai, kā arī lūdzam norādīt, uz kāda pamata attiecīgais amortizācijas periods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8.1.2. specifiskā atbalsta mērķa „Uzlabot vispārējās izglītības iestāžu mācību vidi” ietvaros modernizētās infrastruktūras amortizācijas periods jau ir iepriekš noteikts noteikumu projekta anotācijas 1.3.sadaļas apakšsadaļā “Risinājuma apraksts”, un sniegts arī amortizācijas perioda noteikšanas pamatojums. 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Pamatlīdzekļu un ilgtermiņa ieguldījumu amortizācijas periods – projekta ietvaros modernizēto aktīvu lietderīgās lietošanas laiks, kuru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2018. gada 13. februāra noteikumu Nr. 87 „Grāmatvedības uzskaites kārtība budžeta iestādēs” 2. pielikumā „Pamatlīdzekļu kategorijas, grupas un apakšgrupas nolietojuma normu noteikšanai” noteiktajam laikam (lietderīgās lietošanas laiks tehnoloģiskām iekārtām, mēraparatūrai, regulēšanas ierīcēm, laboratoriju un medicīnas iekārtām – 10 gadi, datortehnikai –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(ievērojot, ka izglītības (vispārējās) nozare minētajā pielikumā nav noteikta, tad specifiskā atbalsta projektu ietvaros veiktajiem būvdarbiem tiek piemērota citām nozarēm noteiktais projekta dzīves cikla periods - 15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rosināto grozījumu ietekmi uz īstenošanā esošajiem projektiem. Vienlaikus lūdzam iekļaut vērtējumu, vai jau pabeigtajos projektos, kuros ir izbūvēta sporta zāle, kuras būvniecība ir bijusi nepieciešama gadījumos, kad specifiskā atbalsta projekta ietvaros tikusi veikta jaunas vispārējās izglītība iestādes ēkas būvniecība, lai nodrošinātu mācību priekšmeta “Sports” pilnvērtīgu apguvi, labiekārtošanas izmaksas ir tikušas segtas no citiem finansējuma avotiem, ņemot vērā, ka līdz šim tās nav bijušas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kontekstā ar noteikumu projektā paredzētajiem grozījumiem ir nepieciešams veikt grozījumus vienošanās par projektu īstenošanu. Gadījumā, ja attiecīgi grozījumi ir jāveic, lūdzam atbilstoši papildināt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Ja sadarbības iestāde konstatē, ka ir pārkāptas šajos noteikumos noteiktās komercdarbības atbalsta kontroles normas,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3.punktā ietvertā plānotā Ministru kabineta 2016.gada 24.maija noteikumu Nr.323 “Darbības programmas “Izaugsme un nodarbinātība” 8.1.2. specifiskā atbalsta mērķa “Uzlabot vispārējās izglītības iestāžu mācību vidi” īstenošanas noteikumi” 47.</w:t>
            </w:r>
            <w:r w:rsidR="00000000" w:rsidRPr="00000000" w:rsidDel="00000000">
              <w:rPr>
                <w:vertAlign w:val="superscript"/>
                <w:rtl w:val="0"/>
              </w:rPr>
              <w:t xml:space="preserve">3</w:t>
            </w:r>
            <w:r w:rsidR="00000000" w:rsidRPr="00000000" w:rsidDel="00000000">
              <w:rPr>
                <w:rtl w:val="0"/>
              </w:rPr>
              <w:t xml:space="preserve"> punkta redakciju, aizstājot vārdus “atbalsta saņēmējam” ar vārdiem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Ja sadarbības iestāde konstatē, ka ir pārkāptas šajos noteikumos noteiktās komercdarbības atbalsta kontroles normas, finansējuma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22-TA-2345</w:t>
    </w:r>
    <w:r>
      <w:br/>
    </w:r>
    <w:r w:rsidR="00000000" w:rsidRPr="00000000" w:rsidDel="00000000">
      <w:rPr>
        <w:rtl w:val="0"/>
      </w:rPr>
      <w:t xml:space="preserve">25.09.2022. 18.27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22-TA-2345</w:t>
    </w:r>
    <w:r>
      <w:br/>
    </w:r>
    <w:r w:rsidR="00000000" w:rsidRPr="00000000" w:rsidDel="00000000">
      <w:rPr>
        <w:rtl w:val="0"/>
      </w:rPr>
      <w:t xml:space="preserve">25.09.2022. 18.27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Izziņa_22-TA-2345.docx</dc:title>
</cp:coreProperties>
</file>

<file path=docProps/custom.xml><?xml version="1.0" encoding="utf-8"?>
<Properties xmlns="http://schemas.openxmlformats.org/officeDocument/2006/custom-properties" xmlns:vt="http://schemas.openxmlformats.org/officeDocument/2006/docPropsVTypes"/>
</file>