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23-TA-2054: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nacionālais militārās mobilitātes plāns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nodaļā "Latvijas nacionālās aktivitātes un prioritātes militārās mobilitātes jomā" apakšnodaļā "Transporta infrastruktūras attīstības prioritātes" "Autoceļu un dzelzceļa pārvadu pārbūve" izteikt šādā redakcijā "Ceļu un dzelzceļa (tostarp tiltu un pārvadu) pārbūve", kā arī lūdzam svītrot "Autoceļu uzlabošana un pārbūve", jo uzlabošana pēc būtības ir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apakšnodaļā "Autoceļi"  vārdu "autoceļu" aizstāt ar vārdu "ceļu".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autoceļu infrastruktūru atsevišķā sadaļā līdzvērtīgi informatīvā ziņojumā iekļautajai sadaļai "Dzelzceļš", tā stiprinot autoceļu prioritāti un nodrošinot atbilstību Eiropas Komisijas 2021.gada 10.augusta regulas (ES) 2021/1328, ar ko saskaņā ar Eiropas Parlamenta un Padomes Regulu (ES) 2021/1153 precizē infrastruktūras prasības, kas piemērojamas konkrētām divējāda lietojuma infrastruktūras darbību kategorijām pielikuma 4. tabulā noteiktajām prasībām un Eiropas Komisijas 2013.gada 11.decembra regulas (ES) 1315/2013 par Savienības pamatnostādnēm Eiropas transporta tīkla attīstībai un ar ko atceļ Lēmumu Nr.661/2010/ES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izziņā norādīts, ka Satiksmes ministrijas 2023.gada 23.augusta iebildums ir ņemts vērā, savukārt informatīvā ziņojuma pašreizējā redakcija neatspoguļo situāciju, uz kuru Satiksmes ministrija ir norādījusi 2023.gada 23.augusta atzinumā attiecībā uz migrācijas plāna sagatavošanu, līdz ar to lūdzam veikt attiecīgus precizējumus informatīvajā ziņojumā. Atkārtoti norādām, ka saskaņā ar TEN-T Regulas priekšlikuma (pašlaik trialogu stadijā) 16. a panta 3.punktu dalībvalstīm noteikts pienākums līdz 2026.gadam attiecībā uz ES transporta koridora līnijām, kas neatbilst Eiropas standarta sliežu platumam 1435 mm (Latvijā un Baltijas valstīs esošais 1520 mm sliežu platuma dzelzceļa tīkls), sagatavot migrācijas plānu uz sliežu platumu 1435 mm, iekļaujot sociālekonomisko izmaksu un ieguvumu analīzi, t.sk. identificējot tās līnijas, kuru migrācija nav pamatota. Būtisks jautājums būs par Austrumu - Rietumu kravu koridora attīstību pēc Ukrainas kara beigām. Plānā būs jāiekļauj ostu prasības attiecībā uz savienojamību ar kravu bāzēm (piemēram, Vidusāzija un Ķīna). Sākotnējās konsultācijas ar nozari iezīmē viedokli, ka esošās dzelzceļa infrastruktūras pārveide būtu jāattīsta kā loģisks Rail Baltica paplašinājums, kas nozīmē, ka galvenā prioritāte ir Rail Baltica projekta īstenošana, lai sāktu 1435mm platuma dzelzceļa darbību un veidotu savienojumu ar ES dzelzceļa tīklu.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atbilstoši nozares izvērtējumam sagatavotais “Latvijas nacionālais militārās mobilitātes plāns” lielākoties ietver virkni vispārīgu paziņojumu bez konkrētiem mērķiem, uzdevumiem vai realizējamiem projektiem, tostarp būtiskiem objektiem, to spēju nepieciešamās militārās mobilitātes jaudas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informatīvā ziņojuma pašreizējā redakcija neatspoguļo VAS “Latvijas dzelzceļš” (turpmāk – LDz) pārvaldībā esošo 1520 mm dzelzceļa infrastruktūru. Tā nav minēta arī nevienā no militārās mobilitātes plāna prioritātēm, ko Satiksmes ministrija saredz kā būtisku risku dzelzceļa infrastruktūras un mobilitātes spēju nodrošināšanai Latvijas teritorijā – tostarp laikā līdz tiek ekspluatēts Rail Baltica 1435 mm sliežu platuma dzelzceļš. Līdz ar to lūdzam noteikt 1520 mm sliežu platuma infrastruktūru kā prioritāti informatīvajā ziņojumā, ņemot vērā, ka tā būs vienīgā, kas Latvijas teritorijā nodrošinās pārvietošanos pa dzelzceļu vismaz līdz 2030.gadam.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ievaddaļā, savukārt, noteikts, ka informatīvais ziņojums nodrošinās spēju Eiropas Komisijas organizēto Eiropas infrastruktūras savienošanas mehānisma (CEF) Militārās mobilitātes projektu līdzfinansējumu uzsaukuma projektu konkursa dalībniekiem no Latvijas atsaukties uz to projekta pieteikuma ietvarā, tādējādi kalpojot kā apliecinājumam projektu atbilstībai Latvijas militārās mobilitātes attīstības prioritātēm. Informējam, ka Satiksmes ministrija “CEF 2 Transport - Adaptation of the TEN-T to civilian-defence dual use - Military mobility envelope (CEF-T-2023-MILMOB)” ietvaros, dalībvalsts atbalsta vēstules izsniegšanai, lai pretendētu uz 2023.gada Militārās mobilitātes finansiālo atbalstu, ir saņēmusi LDz projekta pieteikumu “Jaunu, drošu un sadarbspējīgu dzelzceļa telemātikas risinājumu ieviešana Latvijā divējādai lietošanai” (Implementing new, secured and interoperable telematics applications in Latvia for dual-use) (P-SAN-966) un projekta pieteikumu “Jauna dzelzceļa tilta pār Dubnas upi būvniecība (ar caurvedes un kravnesības spēju atbilstoši militārajām vajadzībām)” (Construction of a new railway bridge over the Dubna River (with throughput and carrying capacity in accordance with military needs).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Nepapildinot informatīvā ziņojuma prioritātes ar LDz pārvaldībā esošā 1520mm platuma dzelzceļa infrastruktūras tvērumu, saredzam tiešus riskus, kas liegs Latvijai iegūt nepieciešamo finansējumu plānotajiem projektiem, paredzot aizvietot novecojušus LDz esošos (no Krievijas un Baltkrievijas ražotājiem atkarīgus) IT un sistēmu risinājumus ar neatkarīgiem ES, EEZ un NATO valstu vienotiem risinājumiem un veikt jauna LDz tīklā esoša tilta pār Dubnas upi pie Līvāniem projektēšanu un būvniecību (ar caurvedes un kravnesības spēju atbilstoši militārajām vajadzībām Eiropas transporta tīkla (TEN-T) pamattīklā).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ar informatīvo ziņojumu tiek vēstīts, ka viens no vēlamajiem aizsardzības resora ilgtermiņa risinājumiem ir pilnīga pāreja uz 1435 mm platuma sliedēm Latvijas teritorijā. Satiksmes ministrijas ieskatā šāds vēstījums ir pamats plašākai diskusijai par nodomu realizāciju gan nacionālā, gan Baltijas valstu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informatīvo ziņojumu un tajā noteiktās prioritātes ar LDz pārvaldībā esošo 1520 mm platuma dzelzceļa infrastruktūras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sniegto informāciju attiecībā uz 1520mm sliežu platuma dzelzceļa tīkla pārveidi uz 1435mm sliežu platuma standartu precizēt atbilstoši Latvijas pozīcijai TEN-T regulas pārskatīšanas procesā (Priekšlikums EIROPAS PARLAMENTA UN PADOMES REGULAI par Savienības pamatnostādnēm Eiropas transporta tīkla attīstībai, ar ko groza Regulu (ES) 2021/1153 un Regulu (ES) Nr. 913/2010 un atceļ Regulu (ES) Nr. 1315/2013), kas pašlaik atrodas trialogu stadijā. Minētā tiesību akta (projekta) 16.a pants trešais punkts paredz, ka dalībvalstīm būs jāgatavo dzelzceļa infrastruktūras, kas atbilst sliežu platumam, kurš nav 1435mm, migrācijas plāns. Sagatavojot migrācijas plānu būs jāņem vērā kopējās tīkla attīstības nepieciešamības. Būtisks jautājums būs par A-R kravu koridora attīstību pēc Ukrainas kara beigām. Plānā būs jāiekļauj ostu prasības attiecībā uz savienojamību ar kravu bāzēm (piemēram, Vidusāzija un Ķīna).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konsultācijas ar nozari iezīmē viedokli, ka esošās dzelzceļa infrastruktūras pārveide būtu jāattīsta kā loģisks Rail Baltica paplašinājums, kas nozīmē, ka galvenā prioritāte ir Rail Baltica projekta īstenošana, sāktu 1435mm platuma dzelzceļa darbību un savienotos ar ES dzelzceļa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55. punktam atzinumu par tiesību akta projektu sniedz vispārējā kārtībā – termiņā no 10 darbdienām. Savukārt </w:t>
            </w:r>
            <w:r w:rsidR="00000000" w:rsidRPr="00000000" w:rsidDel="00000000">
              <w:rPr>
                <w:u w:val="single"/>
                <w:rtl w:val="0"/>
              </w:rPr>
              <w:t xml:space="preserve">steidzamības kārtā atzinumu sniedz tikai izņēmuma gadījumā, ja jautājumu nepieciešams risināt nekavējoties saistībā ar tādu valstij nelabvēlīgu seku iestāšanos, kas skar būtiskas sabiedrības intereses vai valsts starptautiskās, finanšu, ekonomiskās vai drošības intereses</w:t>
            </w:r>
            <w:r w:rsidR="00000000" w:rsidRPr="00000000" w:rsidDel="00000000">
              <w:rPr>
                <w:rtl w:val="0"/>
              </w:rPr>
              <w:t xml:space="preserve">. Steidzamība jāpamato pēc būtības, norādot konkrētās nelabvēlīgās sekas. Par steidzamības pamatu netiek uzskatīts iepriekš laikus zināma uzdevuma izpildes termiņa kavējums. Vienotajā tiesību aktu projektu izstrādes un saskaņošanas portālā informatīvā ziņojuma projekta "Latvijas Nacionālais militārās mobilitātes plāns" (23-TA-2054; turpmāk - projekts) pases pamatinformācijas sadaļā norādīts, ka projekts nav steidzams.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informējam, ka Tieslietu ministrija atzinumu par projektu sniegs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sadaļas "Latvijas nacionālās aktivitātes un prioritātes militārās mobilitātes jomā" apakšsadaļas "Ceļi" (4.lpp.) pēdējās rindkopas pēdējos divus teikumus šādā redakcijā: "Jāņem vērā, ka kopumā Latvijas ceļu tīklā (t.sk. tiltos un pārvados) ir jāveic apjomīgi finanšu ieguldījumi, lai tas optimāli atbilstu divējādas lietojamības prasībām, taču ņemot vērā arī citas valsts attīstības prioritātes, šim mērķim pieejamais valsts budžeta finansējums var nebūt pietiekams. Šī iemesla dēļ, Latvijai ir aktīvi jāizvērtē dažādu starptautisku transporta infrastruktūras attīstības mehānismu piedāvātie risinājumi, kā piemēram CEF Militārās mobilitātes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teksta vietā lūdzam papildināt informatīvo ziņojumu ar tekstu šādā redakcijā: "Saskaņā ar Eiropas Komisijas 2022. gada 10.novembra Rīcības plāna ar Militāro mobilitāti 2. versiju, lai tuvinātu transporta un aizsardzības sektorus efektīvāk izmantot pieejamo un plānoto finansējumu, primāri ES līmeņa, Eiropas Komisija sadarbībā ar dalībvalstīm veiks galveno un prioritāro koridoru identifikāciju, pa kuriem pārvadāt liela apjoma militārās kravas un to, kādas ir nepilnības transporta infrastruktūrā, par pamatu ņemot TEN-T tīklu. Šī analīze būs pamats tālākajai CEF III programmai, ja par to vienosies diskusijās par ES Daudzgadu budžetu pēc 2027.gada, kā arī var kalpot par pamatu nacionālā līmeņa prioritāšu un vajadzību definēšanā, tostarp finansējuma plānošanai. Līdz ar to, pēc šāda pētījuma gala redakcijas būs jāvērtē kādas tālākās rīcības būs nepieciešamas arī Latvijā, tostarp, veidojot tā sasaisti ar TEN-T regulas prasībām un nepieciešamo finansējumu tās izpildē. Vienlaikus jāmin,ka ir noslēgušās saturiskās diskusijas par TEN-T Regulas pārskatu, kas arī paredz šiem lielajiem transporta infrastruktūras projektiem, pie zināmiem nosacījumiem vērtēt militārās mobilitātes vajadzības. Vienlaikus ir jāņem vērā, ka TEN-T regulā definētās prasības ceļiem ir augstas un Latvija visticamāk prasīs derogācijas, līdz ar to attiecībā uz ceļiem būs nepieciešams meklēt iespējas par līdzsvaru starp militārās mobilitātes vajadzībām un TEN -T realizējamo."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sadaļas "Militārās mobilitātes plānošana starptautiskajos formātos un Latvijas saistības tajos" (2.lpp.) trešās rindkopas pēdējo teikumu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interesēs ir palielināt programmas kopējo budžetu un attiecināt finansējuma izmantošanu līdz 2027. gadam, un arī pēc tam nākamā ES daudzgadu budžeta ietvaros, kā arī turpināt apgūt Eiropas Savienības līdzfinansējumu, izstrādājot kvalitatīvus projektus, kas atbilst divējādas lietojamības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Rail Baltica projekta trase nenodrošinās nokļūšanu jebkur Latvijas teritorijā, lūdzam svītrot informatīvā ziņojuma sadaļas "Latvijas nacionālās aktivitātes un prioritātes militārās mobilitātes jomā" apakšsadaļā "Dzelzceļš" (5.lpp.) šādu teikumu: "Šis projekts ir kritiski svarīgs un nes būtisku pienesumu Latvijas aizsardzības un militārās mobilitātes nozarēm, jo ievērojami palielina mūsu un mūsu sabiedroto spēku spēju īsā nokļūt jebkur Latvijā iespējami īsākā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Svītrotā teikuma vietā lūdzam papildināt informatīvo ziņojumu ar tekstu šādā redakcijā: "Reģiona ģeopolitiskās situācijas destabilizācijas ietekmē ir būtiski pieaugusi Rail Baltica projekta nozīme ne tikai kā civilās infrastruktūras attīstības objektam, bet arī kā valsts aizsardzības spēju stiprināšanas elementam, ņemot vērā Rail Baltica dzelzceļa infrastruktūras divējādo – civilā un militārā lietojuma – nozīmi. Eiropas Komisijas 2022. gada Militārās mobilitātes rīcības plānā 2.0* norādīts, ka Ukrainas karš atspoguļo Eiropas Savienības dalībvalstu transporta infrastruktūras objektu savienojamības problemātiku – atšķirīgu dalībvalstu dzelzceļa sistēmu esamību, apgrūtinot iespējas rast operatīvas mobilitātes risinājumus, vienlaikus arī atspoguļojot atkarību no citiem civilā transporta infrastruktūras objektiem. Viens no Rail Baltica projekta mērķiem ir veicināt Baltijas reģiona dzelzceļa infrastruktūras savienojamību ar citu Eiropas reģionu transporta infrastruktūru (šobrīd Baltijas reģionā tiek izmantotas Padomju Savienības standarta 1520 mm sliežu ceļi, turpretī pārējā Eiropā – standarta 1435mm sliežu ceļi), kā arī saīsināt pārrobežu pārvietošanās laiku (salīdzinot ar citiem alternatīviem transporta līdzekļiem) uzlabojot Eiropas Savienības dalībvalstu bruņoto spēku mobilitāti, stiprinot Eiropas drošību kopumā, bet jo īpaši Baltijas reģionā. Dzelzceļa nozīmi valsts, reģiona un Eiropas Savienības militāro spēju stiprināšanā apliecina arī Eiropas Komisijas 2022. gada noslēgumā pieņemtais lēmums palielināt TEN-T divejādā lietojuma infrastruktūras attīstības projektu īstenošanai pieejamo finansējumu. Kopumā secināms, ka transporta infrastruktūras objektu (t.sk. divējādā lietojuma) diversifikācija veicina ne tikai civilo, bet arī militāro pārvadājumu un loģistikas spēju ilgtspēju, noturību un sagatavotību."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nodaļā "Latvijas nacionālās aktivitātes un prioritātes militārās mobilitātes jomā" apakšnodaļā "Autoceļi" pirmajā teikumā un citur tekstā uzsvērt arī piekļuvi ostām, kuru atrašanās vietas ir pilsētās Rīga, Ventspils, Liepāja (tātad svarīga ir šo pilsētu tranzītielu nozīme un atbilstība "divējādas lietojamības"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apakšnodaļā "Autoceļi" pēdējā teikumā norādīt "aktuālos jautājumus", kopumā ceļos (tai skaitā tiltos, pārvados) jāveic apjomīgi finanšu ieguldījumi, lai tie atbilstu "divējādas lietojamības" prasībām, bet valsts budžeta finansējums tam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2.lpp. minēto par Militārās mobilitātes attīstības nolūkiem paredzētu fondu, kas pastāv Eiropas infrastruktūras savienošanas mehānisma (Connecting Europe Facility, CEF) budžeta ietvarā, skaidrojam, ka atbilstoši  Satiksmes ministrijas norādītajam, Militārās mobilitātes finansējuma programma ”TEN-T pielāgošana civilajai un aizsardzības divējādai izmantošanai” ir tāds instruments, pār kura resursu piešķiršanu nevienai nacionālai publiskai iestādei nav kontrole un šos līdzekļus tiešā veidā piešķir Eiropas Savienība  (konkrēti Eiropas klimata, infrastruktūras un vides izpildaģentūra (CINEA)), attiecīgi šie līdzekļi nekvalificējas kā publiski līdzekļi komercdarbības atbalsta kontroles izpratnē. Vienlaikus ievērojot to, ka Militārās mobilitātes projektiem tiek paredzēta atbalsta intensitāte līdz 50% no projekta attiecināmo darbību izmaksām, tad projekta izmaksu daļa, kurai EISI finansējums nav paredzēts un tiek piešķirts no nacionālajiem publiskajiem resursiem, šis resursu piešķīrums ir vērtējams komercdarbības atbalsta kontroles kontekstā. Ievērojot minēto, lūdzam papildināt Latvijas nacionālais militārās mobilitātes plānu ar norādi, ka, piešķirot publisko līdzfinansējumu, tiks veikts izvērtējums no komercdarbības atbalsta kontroles viedokļa un gadījumos, kad projekts kvalificēsies kā komercdarbības atbalsta projekts, tam tiks piemērots atbilstošs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informatīvajam ziņojumam "Latvijas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2021. gada 7. septembra noteikumu Nr. 617 "Tiesību akta projekta sākotnējās ietekmes izvērtēšanas kārtība" 12. punktam sākotnējās ietekmes novērtējuma ziņojumu (turpmāk – anotācija) informatīvā ziņojuma projektam neaizpilda, lūdzam virzīt projektu turpmākai saskaņošanai bez anotācijas.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 sadaļu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informatīvajam ziņojumam "Latvijas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anotācijas nepieciešamību atbilstoši Ministru kabineta 2021. gada 7. septembra noteikumiem nr. 606 "Ministru kabineta kārtības rullis".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informatīvajam ziņojumam "Latvijas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1.2. apakšpunktā kā informatīvā ziņojuma sagatavošanas mērķis ir norādīts informācijas sniegšana par līdzšinēji sniegtajām un arī par turpmāk veicamajām darbībām militārās mobilitātes attīstības ietvarā, taču informatīvais ziņojums un Ministru kabineta sēdes protokollēmuma projekts neparedz turpmāk veicamās darbības. Vienlaikus atzīmējam, ka atbilstoši Ministru kabineta 2021.gada 7.septembra noteikumu Nr.606 “Ministru kabineta kārtības rullis” piektās daļas 47.punktā norādītajam, informatīvais ziņojums ir informācija vai pārskats par Ministru kabineta kompetencē esoša jautājuma risināšanas gaitu, par Ministru kabineta atbalstīta plānošanas dokumenta īstenošanu vai tiesību akta izpildi un tam nav paredzēts pievienot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 ja militārās mobilitātes pasākumu ieviešanai būs nepieciešams papildu finansējums, tad jautājums par papildu valsts budžeta līdzekļu piešķiršanu tiks skatīts gadskārtējā valsts budžeta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tekstu apakšsadaļā "Uzņemošās valsts atbalsts", norādot, ka NATO paplašinātās klātbūtnes kaujas grupā piedalās 11 valstis, tostarp Ziemeļmaķedonija.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Latvijas teritorijā ir izvietotas 11 NATO sabiedroto dalībvalstu vienības NATO paplašinātās klātbūtnes kaujas grupas ietvarā. Tās ir Kanāda, Albānija, Čehija, Islande, Itālija, Melnkalne, Polija, Slovākija, Slovēnija, Spānija un Ziemeļmaķedonija.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23-TA-2054</w:t>
    </w:r>
    <w:r>
      <w:br/>
    </w:r>
    <w:r w:rsidR="00000000" w:rsidRPr="00000000" w:rsidDel="00000000">
      <w:rPr>
        <w:rtl w:val="0"/>
      </w:rPr>
      <w:t xml:space="preserve">16.01.2024. 15.42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23-TA-2054</w:t>
    </w:r>
    <w:r>
      <w:br/>
    </w:r>
    <w:r w:rsidR="00000000" w:rsidRPr="00000000" w:rsidDel="00000000">
      <w:rPr>
        <w:rtl w:val="0"/>
      </w:rPr>
      <w:t xml:space="preserve">16.01.2024. 15.42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Izziņa_23-TA-2054.docx</dc:title>
</cp:coreProperties>
</file>

<file path=docProps/custom.xml><?xml version="1.0" encoding="utf-8"?>
<Properties xmlns="http://schemas.openxmlformats.org/officeDocument/2006/custom-properties" xmlns:vt="http://schemas.openxmlformats.org/officeDocument/2006/docPropsVTypes"/>
</file>