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6DAF" w:rsidRDefault="00786DAF" w:rsidP="002C22B9">
      <w:pPr>
        <w:jc w:val="center"/>
        <w:rPr>
          <w:sz w:val="20"/>
        </w:rPr>
      </w:pPr>
      <w:bookmarkStart w:id="0" w:name="_GoBack"/>
      <w:bookmarkEnd w:id="0"/>
    </w:p>
    <w:p w:rsidR="002C22B9" w:rsidRDefault="002C22B9" w:rsidP="002C22B9">
      <w:pPr>
        <w:jc w:val="center"/>
        <w:rPr>
          <w:sz w:val="20"/>
        </w:rPr>
      </w:pPr>
      <w:r w:rsidRPr="00914649">
        <w:rPr>
          <w:sz w:val="20"/>
        </w:rPr>
        <w:t>Rīgā</w:t>
      </w:r>
    </w:p>
    <w:p w:rsidR="002C22B9" w:rsidRDefault="002C22B9" w:rsidP="007F3771">
      <w:pPr>
        <w:rPr>
          <w:spacing w:val="4"/>
          <w:sz w:val="20"/>
        </w:rPr>
      </w:pPr>
    </w:p>
    <w:tbl>
      <w:tblPr>
        <w:tblW w:w="0" w:type="auto"/>
        <w:tblLook w:val="0000" w:firstRow="0" w:lastRow="0" w:firstColumn="0" w:lastColumn="0" w:noHBand="0" w:noVBand="0"/>
      </w:tblPr>
      <w:tblGrid>
        <w:gridCol w:w="450"/>
        <w:gridCol w:w="1785"/>
        <w:gridCol w:w="708"/>
        <w:gridCol w:w="2727"/>
      </w:tblGrid>
      <w:tr w:rsidR="002C22B9" w:rsidRPr="00615936" w:rsidTr="009F77B9">
        <w:tc>
          <w:tcPr>
            <w:tcW w:w="450" w:type="dxa"/>
            <w:tcBorders>
              <w:top w:val="nil"/>
              <w:left w:val="nil"/>
              <w:bottom w:val="nil"/>
              <w:right w:val="nil"/>
            </w:tcBorders>
          </w:tcPr>
          <w:p w:rsidR="002C22B9" w:rsidRPr="00615936" w:rsidRDefault="002C22B9" w:rsidP="002C22B9">
            <w:pPr>
              <w:tabs>
                <w:tab w:val="left" w:pos="360"/>
                <w:tab w:val="left" w:pos="3960"/>
              </w:tabs>
              <w:rPr>
                <w:sz w:val="20"/>
              </w:rPr>
            </w:pPr>
          </w:p>
        </w:tc>
        <w:bookmarkStart w:id="1" w:name="reg_dat"/>
        <w:tc>
          <w:tcPr>
            <w:tcW w:w="1785" w:type="dxa"/>
            <w:tcBorders>
              <w:top w:val="nil"/>
              <w:left w:val="nil"/>
              <w:bottom w:val="single" w:sz="4" w:space="0" w:color="auto"/>
              <w:right w:val="nil"/>
            </w:tcBorders>
          </w:tcPr>
          <w:p w:rsidR="002C22B9" w:rsidRPr="00615936" w:rsidRDefault="002C22B9" w:rsidP="002C22B9">
            <w:pPr>
              <w:tabs>
                <w:tab w:val="left" w:pos="3960"/>
              </w:tabs>
              <w:rPr>
                <w:szCs w:val="24"/>
              </w:rPr>
            </w:pPr>
            <w:r w:rsidRPr="00615936">
              <w:rPr>
                <w:szCs w:val="24"/>
              </w:rPr>
              <w:fldChar w:fldCharType="begin">
                <w:ffData>
                  <w:name w:val="reg_dat"/>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352A0A">
              <w:rPr>
                <w:szCs w:val="24"/>
              </w:rPr>
              <w:t>19.05.2020</w:t>
            </w:r>
            <w:r w:rsidRPr="00615936">
              <w:rPr>
                <w:szCs w:val="24"/>
              </w:rPr>
              <w:fldChar w:fldCharType="end"/>
            </w:r>
            <w:bookmarkEnd w:id="1"/>
          </w:p>
        </w:tc>
        <w:tc>
          <w:tcPr>
            <w:tcW w:w="708" w:type="dxa"/>
            <w:tcBorders>
              <w:top w:val="nil"/>
              <w:left w:val="nil"/>
              <w:bottom w:val="nil"/>
              <w:right w:val="nil"/>
            </w:tcBorders>
          </w:tcPr>
          <w:p w:rsidR="002C22B9" w:rsidRPr="00615936" w:rsidRDefault="002C22B9" w:rsidP="002C22B9">
            <w:pPr>
              <w:tabs>
                <w:tab w:val="left" w:pos="360"/>
                <w:tab w:val="left" w:pos="3960"/>
              </w:tabs>
              <w:jc w:val="center"/>
              <w:rPr>
                <w:sz w:val="20"/>
              </w:rPr>
            </w:pPr>
            <w:r w:rsidRPr="00615936">
              <w:rPr>
                <w:sz w:val="20"/>
              </w:rPr>
              <w:t>Nr.</w:t>
            </w:r>
          </w:p>
        </w:tc>
        <w:bookmarkStart w:id="2" w:name="lietas_nr"/>
        <w:tc>
          <w:tcPr>
            <w:tcW w:w="2727" w:type="dxa"/>
            <w:tcBorders>
              <w:top w:val="nil"/>
              <w:left w:val="nil"/>
              <w:bottom w:val="single" w:sz="4" w:space="0" w:color="auto"/>
              <w:right w:val="nil"/>
            </w:tcBorders>
          </w:tcPr>
          <w:p w:rsidR="002C22B9" w:rsidRPr="00615936" w:rsidRDefault="002C22B9" w:rsidP="002C22B9">
            <w:pPr>
              <w:tabs>
                <w:tab w:val="left" w:pos="360"/>
                <w:tab w:val="left" w:pos="3960"/>
              </w:tabs>
              <w:rPr>
                <w:szCs w:val="24"/>
              </w:rPr>
            </w:pPr>
            <w:r w:rsidRPr="00615936">
              <w:rPr>
                <w:szCs w:val="24"/>
              </w:rPr>
              <w:fldChar w:fldCharType="begin">
                <w:ffData>
                  <w:name w:val="lietas_nr"/>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A56AA6">
              <w:rPr>
                <w:szCs w:val="24"/>
              </w:rPr>
              <w:t>12/A-7</w:t>
            </w:r>
            <w:r w:rsidRPr="00615936">
              <w:rPr>
                <w:szCs w:val="24"/>
              </w:rPr>
              <w:fldChar w:fldCharType="end"/>
            </w:r>
            <w:bookmarkEnd w:id="2"/>
            <w:r w:rsidRPr="00615936">
              <w:rPr>
                <w:szCs w:val="24"/>
              </w:rPr>
              <w:t>/</w:t>
            </w:r>
            <w:bookmarkStart w:id="3" w:name="reg_num"/>
            <w:r w:rsidRPr="00615936">
              <w:rPr>
                <w:szCs w:val="24"/>
              </w:rPr>
              <w:fldChar w:fldCharType="begin">
                <w:ffData>
                  <w:name w:val="reg_num"/>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352A0A">
              <w:rPr>
                <w:szCs w:val="24"/>
              </w:rPr>
              <w:t>2728</w:t>
            </w:r>
            <w:r w:rsidRPr="00615936">
              <w:rPr>
                <w:szCs w:val="24"/>
              </w:rPr>
              <w:fldChar w:fldCharType="end"/>
            </w:r>
            <w:bookmarkEnd w:id="3"/>
          </w:p>
        </w:tc>
      </w:tr>
      <w:tr w:rsidR="002C22B9" w:rsidRPr="00615936" w:rsidTr="009F77B9">
        <w:trPr>
          <w:trHeight w:val="188"/>
        </w:trPr>
        <w:tc>
          <w:tcPr>
            <w:tcW w:w="450" w:type="dxa"/>
            <w:tcBorders>
              <w:top w:val="nil"/>
              <w:left w:val="nil"/>
              <w:bottom w:val="nil"/>
              <w:right w:val="nil"/>
            </w:tcBorders>
          </w:tcPr>
          <w:p w:rsidR="002C22B9" w:rsidRPr="00615936" w:rsidRDefault="002C22B9" w:rsidP="002C22B9">
            <w:pPr>
              <w:tabs>
                <w:tab w:val="left" w:pos="360"/>
                <w:tab w:val="left" w:pos="3960"/>
              </w:tabs>
              <w:rPr>
                <w:sz w:val="20"/>
              </w:rPr>
            </w:pPr>
          </w:p>
        </w:tc>
        <w:tc>
          <w:tcPr>
            <w:tcW w:w="1785" w:type="dxa"/>
            <w:tcBorders>
              <w:top w:val="single" w:sz="4" w:space="0" w:color="auto"/>
              <w:left w:val="nil"/>
              <w:bottom w:val="nil"/>
              <w:right w:val="nil"/>
            </w:tcBorders>
          </w:tcPr>
          <w:p w:rsidR="002C22B9" w:rsidRPr="00615936" w:rsidRDefault="002C22B9" w:rsidP="002C22B9">
            <w:pPr>
              <w:tabs>
                <w:tab w:val="left" w:pos="360"/>
                <w:tab w:val="left" w:pos="3960"/>
              </w:tabs>
              <w:rPr>
                <w:sz w:val="20"/>
              </w:rPr>
            </w:pPr>
          </w:p>
        </w:tc>
        <w:tc>
          <w:tcPr>
            <w:tcW w:w="708" w:type="dxa"/>
            <w:tcBorders>
              <w:top w:val="nil"/>
              <w:left w:val="nil"/>
              <w:bottom w:val="nil"/>
              <w:right w:val="nil"/>
            </w:tcBorders>
          </w:tcPr>
          <w:p w:rsidR="002C22B9" w:rsidRPr="00615936" w:rsidRDefault="002C22B9" w:rsidP="002C22B9">
            <w:pPr>
              <w:tabs>
                <w:tab w:val="left" w:pos="360"/>
                <w:tab w:val="left" w:pos="3960"/>
              </w:tabs>
              <w:jc w:val="center"/>
              <w:rPr>
                <w:sz w:val="20"/>
              </w:rPr>
            </w:pPr>
          </w:p>
        </w:tc>
        <w:tc>
          <w:tcPr>
            <w:tcW w:w="2727" w:type="dxa"/>
            <w:tcBorders>
              <w:top w:val="single" w:sz="4" w:space="0" w:color="auto"/>
              <w:left w:val="nil"/>
              <w:bottom w:val="nil"/>
              <w:right w:val="nil"/>
            </w:tcBorders>
          </w:tcPr>
          <w:p w:rsidR="002C22B9" w:rsidRPr="00615936" w:rsidRDefault="002C22B9" w:rsidP="002C22B9">
            <w:pPr>
              <w:tabs>
                <w:tab w:val="left" w:pos="360"/>
                <w:tab w:val="left" w:pos="3960"/>
              </w:tabs>
              <w:rPr>
                <w:sz w:val="20"/>
              </w:rPr>
            </w:pPr>
          </w:p>
        </w:tc>
      </w:tr>
      <w:tr w:rsidR="002C22B9" w:rsidRPr="00615936" w:rsidTr="009F77B9">
        <w:tc>
          <w:tcPr>
            <w:tcW w:w="450" w:type="dxa"/>
            <w:tcBorders>
              <w:top w:val="nil"/>
              <w:left w:val="nil"/>
              <w:bottom w:val="nil"/>
              <w:right w:val="nil"/>
            </w:tcBorders>
          </w:tcPr>
          <w:p w:rsidR="002C22B9" w:rsidRPr="00615936" w:rsidRDefault="002C22B9" w:rsidP="002C22B9">
            <w:pPr>
              <w:tabs>
                <w:tab w:val="left" w:pos="360"/>
                <w:tab w:val="left" w:pos="3960"/>
              </w:tabs>
              <w:rPr>
                <w:sz w:val="20"/>
              </w:rPr>
            </w:pPr>
            <w:r w:rsidRPr="00615936">
              <w:rPr>
                <w:sz w:val="20"/>
              </w:rPr>
              <w:t>Uz</w:t>
            </w:r>
          </w:p>
        </w:tc>
        <w:bookmarkStart w:id="4" w:name="san_dat"/>
        <w:tc>
          <w:tcPr>
            <w:tcW w:w="1785" w:type="dxa"/>
            <w:tcBorders>
              <w:top w:val="nil"/>
              <w:left w:val="nil"/>
              <w:bottom w:val="single" w:sz="4" w:space="0" w:color="auto"/>
              <w:right w:val="nil"/>
            </w:tcBorders>
          </w:tcPr>
          <w:p w:rsidR="002C22B9" w:rsidRPr="00615936" w:rsidRDefault="002C22B9" w:rsidP="002C22B9">
            <w:pPr>
              <w:tabs>
                <w:tab w:val="left" w:pos="360"/>
                <w:tab w:val="left" w:pos="3960"/>
              </w:tabs>
              <w:rPr>
                <w:szCs w:val="24"/>
              </w:rPr>
            </w:pPr>
            <w:r w:rsidRPr="00615936">
              <w:rPr>
                <w:szCs w:val="24"/>
              </w:rPr>
              <w:fldChar w:fldCharType="begin">
                <w:ffData>
                  <w:name w:val="san_dat"/>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A56AA6">
              <w:rPr>
                <w:szCs w:val="24"/>
              </w:rPr>
              <w:t>30.04.2020</w:t>
            </w:r>
            <w:r w:rsidRPr="00615936">
              <w:rPr>
                <w:szCs w:val="24"/>
              </w:rPr>
              <w:fldChar w:fldCharType="end"/>
            </w:r>
            <w:bookmarkEnd w:id="4"/>
          </w:p>
        </w:tc>
        <w:tc>
          <w:tcPr>
            <w:tcW w:w="708" w:type="dxa"/>
            <w:tcBorders>
              <w:top w:val="nil"/>
              <w:left w:val="nil"/>
              <w:bottom w:val="nil"/>
              <w:right w:val="nil"/>
            </w:tcBorders>
          </w:tcPr>
          <w:p w:rsidR="002C22B9" w:rsidRPr="00615936" w:rsidRDefault="002C22B9" w:rsidP="002C22B9">
            <w:pPr>
              <w:tabs>
                <w:tab w:val="left" w:pos="360"/>
                <w:tab w:val="left" w:pos="3960"/>
              </w:tabs>
              <w:jc w:val="center"/>
              <w:rPr>
                <w:sz w:val="20"/>
              </w:rPr>
            </w:pPr>
            <w:r w:rsidRPr="00615936">
              <w:rPr>
                <w:sz w:val="20"/>
              </w:rPr>
              <w:t>Nr.</w:t>
            </w:r>
          </w:p>
        </w:tc>
        <w:bookmarkStart w:id="5" w:name="san_num"/>
        <w:tc>
          <w:tcPr>
            <w:tcW w:w="2727" w:type="dxa"/>
            <w:tcBorders>
              <w:top w:val="nil"/>
              <w:left w:val="nil"/>
              <w:bottom w:val="single" w:sz="4" w:space="0" w:color="auto"/>
              <w:right w:val="nil"/>
            </w:tcBorders>
          </w:tcPr>
          <w:p w:rsidR="002C22B9" w:rsidRPr="00615936" w:rsidRDefault="002C22B9" w:rsidP="002C22B9">
            <w:pPr>
              <w:tabs>
                <w:tab w:val="left" w:pos="360"/>
                <w:tab w:val="left" w:pos="3960"/>
              </w:tabs>
              <w:rPr>
                <w:szCs w:val="24"/>
              </w:rPr>
            </w:pPr>
            <w:r w:rsidRPr="00615936">
              <w:rPr>
                <w:szCs w:val="24"/>
              </w:rPr>
              <w:fldChar w:fldCharType="begin">
                <w:ffData>
                  <w:name w:val="san_num"/>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A56AA6">
              <w:rPr>
                <w:szCs w:val="24"/>
              </w:rPr>
              <w:t>VSS-356, 18  13§</w:t>
            </w:r>
            <w:r w:rsidRPr="00615936">
              <w:rPr>
                <w:szCs w:val="24"/>
              </w:rPr>
              <w:fldChar w:fldCharType="end"/>
            </w:r>
            <w:bookmarkEnd w:id="5"/>
          </w:p>
        </w:tc>
      </w:tr>
    </w:tbl>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0C0DD4" w:rsidTr="000C0DD4">
        <w:trPr>
          <w:jc w:val="right"/>
        </w:trPr>
        <w:tc>
          <w:tcPr>
            <w:tcW w:w="4644" w:type="dxa"/>
          </w:tcPr>
          <w:p w:rsidR="00A668F7" w:rsidRDefault="00A668F7" w:rsidP="000C0DD4">
            <w:pPr>
              <w:jc w:val="right"/>
              <w:rPr>
                <w:b/>
                <w:bCs/>
                <w:szCs w:val="24"/>
                <w:lang w:eastAsia="lv-LV"/>
              </w:rPr>
            </w:pPr>
            <w:bookmarkStart w:id="6" w:name="org_nos"/>
          </w:p>
          <w:p w:rsidR="000C0DD4" w:rsidRDefault="00A56AA6" w:rsidP="000C0DD4">
            <w:pPr>
              <w:jc w:val="right"/>
              <w:rPr>
                <w:b/>
                <w:bCs/>
                <w:szCs w:val="24"/>
                <w:lang w:eastAsia="lv-LV"/>
              </w:rPr>
            </w:pPr>
            <w:r>
              <w:rPr>
                <w:b/>
                <w:bCs/>
                <w:szCs w:val="24"/>
                <w:lang w:eastAsia="lv-LV"/>
              </w:rPr>
              <w:t>Vides aizsardzības un reģionālās attīstības ministrija</w:t>
            </w:r>
            <w:r w:rsidR="00A668F7">
              <w:rPr>
                <w:b/>
                <w:bCs/>
                <w:szCs w:val="24"/>
                <w:lang w:eastAsia="lv-LV"/>
              </w:rPr>
              <w:t>i</w:t>
            </w:r>
          </w:p>
        </w:tc>
      </w:tr>
      <w:bookmarkEnd w:id="6"/>
    </w:tbl>
    <w:p w:rsidR="001F53D9" w:rsidRPr="007F3771" w:rsidRDefault="001F53D9" w:rsidP="004F32A1">
      <w:pPr>
        <w:rPr>
          <w:spacing w:val="4"/>
          <w:sz w:val="20"/>
        </w:rPr>
      </w:pPr>
    </w:p>
    <w:tbl>
      <w:tblPr>
        <w:tblStyle w:val="TableGrid"/>
        <w:tblW w:w="0" w:type="auto"/>
        <w:tblLook w:val="04A0" w:firstRow="1" w:lastRow="0" w:firstColumn="1" w:lastColumn="0" w:noHBand="0" w:noVBand="1"/>
      </w:tblPr>
      <w:tblGrid>
        <w:gridCol w:w="4503"/>
      </w:tblGrid>
      <w:tr w:rsidR="000C0DD4" w:rsidTr="000C0DD4">
        <w:tc>
          <w:tcPr>
            <w:tcW w:w="4503" w:type="dxa"/>
            <w:tcBorders>
              <w:top w:val="nil"/>
              <w:left w:val="nil"/>
              <w:bottom w:val="nil"/>
              <w:right w:val="nil"/>
            </w:tcBorders>
          </w:tcPr>
          <w:p w:rsidR="00A668F7" w:rsidRDefault="00A668F7" w:rsidP="00C04DED">
            <w:pPr>
              <w:jc w:val="left"/>
              <w:rPr>
                <w:i/>
                <w:iCs/>
                <w:szCs w:val="24"/>
                <w:lang w:eastAsia="lv-LV"/>
              </w:rPr>
            </w:pPr>
            <w:r>
              <w:rPr>
                <w:i/>
                <w:iCs/>
                <w:szCs w:val="24"/>
                <w:lang w:eastAsia="lv-LV"/>
              </w:rPr>
              <w:t>Par informatīvo ziņojumu “</w:t>
            </w:r>
            <w:r w:rsidR="00A56AA6">
              <w:rPr>
                <w:i/>
                <w:iCs/>
                <w:szCs w:val="24"/>
                <w:lang w:eastAsia="lv-LV"/>
              </w:rPr>
              <w:t>Par valsts informācijas un komunikācijas tehnoloģiju resu</w:t>
            </w:r>
            <w:r>
              <w:rPr>
                <w:i/>
                <w:iCs/>
                <w:szCs w:val="24"/>
                <w:lang w:eastAsia="lv-LV"/>
              </w:rPr>
              <w:t>rsu un kompetenču konsolidāciju”</w:t>
            </w:r>
            <w:r w:rsidR="00A56AA6">
              <w:rPr>
                <w:i/>
                <w:iCs/>
                <w:szCs w:val="24"/>
                <w:lang w:eastAsia="lv-LV"/>
              </w:rPr>
              <w:t xml:space="preserve"> </w:t>
            </w:r>
          </w:p>
          <w:p w:rsidR="000C0DD4" w:rsidRDefault="00A56AA6" w:rsidP="00C04DED">
            <w:pPr>
              <w:jc w:val="left"/>
              <w:rPr>
                <w:i/>
                <w:iCs/>
                <w:szCs w:val="24"/>
                <w:lang w:eastAsia="lv-LV"/>
              </w:rPr>
            </w:pPr>
            <w:r>
              <w:rPr>
                <w:i/>
                <w:iCs/>
                <w:szCs w:val="24"/>
                <w:lang w:eastAsia="lv-LV"/>
              </w:rPr>
              <w:t>VSS-356</w:t>
            </w:r>
          </w:p>
        </w:tc>
      </w:tr>
    </w:tbl>
    <w:p w:rsidR="00E04F00" w:rsidRPr="00615936" w:rsidRDefault="00E04F00" w:rsidP="00C04DED">
      <w:pPr>
        <w:jc w:val="left"/>
        <w:rPr>
          <w:szCs w:val="24"/>
        </w:rPr>
      </w:pPr>
    </w:p>
    <w:p w:rsidR="00A668F7" w:rsidRDefault="00A668F7" w:rsidP="00A668F7">
      <w:pPr>
        <w:ind w:firstLine="720"/>
        <w:rPr>
          <w:szCs w:val="24"/>
        </w:rPr>
      </w:pPr>
      <w:r w:rsidRPr="006E247F">
        <w:rPr>
          <w:szCs w:val="24"/>
        </w:rPr>
        <w:t xml:space="preserve">Finanšu ministrija atbilstoši kompetencei ir izskatījusi </w:t>
      </w:r>
      <w:r w:rsidRPr="00391ABC">
        <w:rPr>
          <w:szCs w:val="24"/>
        </w:rPr>
        <w:t xml:space="preserve">Vides aizsardzības un reģionālās attīstības ministrijas </w:t>
      </w:r>
      <w:r w:rsidRPr="00904D56">
        <w:rPr>
          <w:szCs w:val="24"/>
        </w:rPr>
        <w:t xml:space="preserve">(turpmāk – VARAM) </w:t>
      </w:r>
      <w:r w:rsidRPr="00391ABC">
        <w:rPr>
          <w:szCs w:val="24"/>
        </w:rPr>
        <w:t xml:space="preserve">sagatavoto </w:t>
      </w:r>
      <w:r>
        <w:rPr>
          <w:szCs w:val="24"/>
        </w:rPr>
        <w:t>informatīvā ziņojuma projektu “</w:t>
      </w:r>
      <w:r w:rsidRPr="00904D56">
        <w:rPr>
          <w:szCs w:val="24"/>
        </w:rPr>
        <w:t xml:space="preserve">Par valsts informācijas un komunikācijas tehnoloģiju resursu un kompetenču konsolidāciju” </w:t>
      </w:r>
      <w:r>
        <w:rPr>
          <w:szCs w:val="24"/>
        </w:rPr>
        <w:t xml:space="preserve">(turpmāk – informatīvais ziņojums) </w:t>
      </w:r>
      <w:r w:rsidRPr="00904D56">
        <w:rPr>
          <w:szCs w:val="24"/>
        </w:rPr>
        <w:t>un Minist</w:t>
      </w:r>
      <w:r>
        <w:rPr>
          <w:szCs w:val="24"/>
        </w:rPr>
        <w:t>ru kabineta sēdes protokollēmuma projektu (turpmāk – protokollēmums)</w:t>
      </w:r>
      <w:r w:rsidRPr="00904D56">
        <w:t xml:space="preserve"> </w:t>
      </w:r>
      <w:r w:rsidRPr="00290269">
        <w:t xml:space="preserve">un </w:t>
      </w:r>
      <w:r>
        <w:t>izsaka šādus iebildumus un priekšlikumus.</w:t>
      </w:r>
    </w:p>
    <w:p w:rsidR="00A668F7" w:rsidRPr="00904D56" w:rsidRDefault="00A668F7" w:rsidP="00A668F7">
      <w:pPr>
        <w:ind w:firstLine="720"/>
        <w:rPr>
          <w:szCs w:val="24"/>
        </w:rPr>
      </w:pPr>
      <w:r>
        <w:rPr>
          <w:u w:val="single"/>
        </w:rPr>
        <w:t>Iebildumi</w:t>
      </w:r>
      <w:r w:rsidRPr="00DA2084">
        <w:rPr>
          <w:u w:val="single"/>
        </w:rPr>
        <w:t>.</w:t>
      </w:r>
    </w:p>
    <w:p w:rsidR="00A668F7" w:rsidRDefault="00A668F7" w:rsidP="00A668F7">
      <w:pPr>
        <w:pStyle w:val="ListParagraph"/>
        <w:numPr>
          <w:ilvl w:val="0"/>
          <w:numId w:val="1"/>
        </w:numPr>
        <w:ind w:left="0" w:firstLine="360"/>
        <w:jc w:val="both"/>
      </w:pPr>
      <w:r w:rsidRPr="00904D56">
        <w:t>Iebilstam pret protokollēmuma 4.2. punktā noteikto termiņu 2020. gada 30. jūniju, pēc kura nav atļautas investīcijas datu centru skaitļošanas iekārtās – serveros, datu krātuvēs un citā datu centru aprīkojumā. Tā kā atbilstoši Valsts budžeta plānošanas ciklam attīstības projekti tiek plānoti 1-3 gadu termiņā, projektiem jau ir piešķirts finansējums, t.sk. sadalījumā pa kapitālieguldījumiem/uzturēšanas izdevumiem, t.sk. iekļaujot infrastruktūras iegādi, līdz ar to lēmums par pilnīgu investīciju pārtraukšanu aptuveni mēneša laikā nav pamatots un pieņemams. Ierosinām noteikt, ka iespēju robežās investīcijas pakāpeniski jāsamazina 3 gadu periodā un pilnīgi jāpārtrauc 36 mēnešus pēc protokollēmuma pieņemšanas.</w:t>
      </w:r>
    </w:p>
    <w:p w:rsidR="00A668F7" w:rsidRDefault="00A668F7" w:rsidP="00A668F7">
      <w:pPr>
        <w:pStyle w:val="ListParagraph"/>
        <w:numPr>
          <w:ilvl w:val="0"/>
          <w:numId w:val="1"/>
        </w:numPr>
        <w:ind w:left="0" w:firstLine="360"/>
        <w:jc w:val="both"/>
      </w:pPr>
      <w:r>
        <w:t xml:space="preserve">Finanšu ministrija konceptuāli atbalsta </w:t>
      </w:r>
      <w:r w:rsidRPr="008E1AF4">
        <w:t>Valsts elekt</w:t>
      </w:r>
      <w:r>
        <w:t xml:space="preserve">ronisko pakalpojumu centru ideju, uz </w:t>
      </w:r>
      <w:r w:rsidRPr="008E1AF4">
        <w:t xml:space="preserve">Latvijas Valsts Radio un Televīzijas Centra </w:t>
      </w:r>
      <w:r>
        <w:t xml:space="preserve">(turpmāk – </w:t>
      </w:r>
      <w:r w:rsidRPr="008E1AF4">
        <w:t>LVRTC</w:t>
      </w:r>
      <w:r>
        <w:t>) bāzes nodrošinot mākoņpakalpojumus, taču iebilst pret obligātu pāreju uz šiem pakalpojumiem, pirms tie ir radīti. Lūdzam papildināt protokollēmumu un tajā precīzi noteikt, ka vēl viens obligāts priekšnosacījums protokollēmuma 4.2. punktā noteiktajai investīciju pārtraukšanai iestāžu datu centru infrastruktūrā ir LVRTC spēja nodrošināt saviem pakalpojumiem vismaz šādas mākoņpakalpojumu īpašības:</w:t>
      </w:r>
    </w:p>
    <w:p w:rsidR="00A668F7" w:rsidRDefault="00A668F7" w:rsidP="00A668F7">
      <w:pPr>
        <w:pStyle w:val="ListParagraph"/>
        <w:numPr>
          <w:ilvl w:val="0"/>
          <w:numId w:val="2"/>
        </w:numPr>
        <w:jc w:val="both"/>
      </w:pPr>
      <w:r>
        <w:t>elastība nomātā infrastruktūras pakalpojuma raksturlielumos (vismaz vCPU un vRAM apjomam), nosakot, ka norēķina apjoms ir par minūtēm (pašlaik sarunās konstatēts, ka plānošanas periods ir viens gads, ar izņēmuma izmaiņām, kas, iespējams, nākotnē varētu tikt veiktas mēneša griezumā);</w:t>
      </w:r>
    </w:p>
    <w:p w:rsidR="00A668F7" w:rsidRDefault="00A668F7" w:rsidP="00A668F7">
      <w:pPr>
        <w:pStyle w:val="ListParagraph"/>
        <w:numPr>
          <w:ilvl w:val="0"/>
          <w:numId w:val="2"/>
        </w:numPr>
        <w:jc w:val="both"/>
      </w:pPr>
      <w:r>
        <w:lastRenderedPageBreak/>
        <w:t>elastīga norēķinu kārtība – pašlaik ir budžeta maiņa programmas līmenī reizi gadā, pilnībā nav savietojama ar iestāžu budžeta plānošanu – norēķiniem būtu jānotiek reizi mēnesī pēc faktiski patērētā mākoņpakalpojumu apjoma pa minūtēm;</w:t>
      </w:r>
    </w:p>
    <w:p w:rsidR="00A668F7" w:rsidRDefault="00A668F7" w:rsidP="00A668F7">
      <w:pPr>
        <w:pStyle w:val="ListParagraph"/>
        <w:numPr>
          <w:ilvl w:val="0"/>
          <w:numId w:val="2"/>
        </w:numPr>
        <w:jc w:val="both"/>
      </w:pPr>
      <w:r>
        <w:t>dažāda service-level agreemen (SLA) infrastruktūras pakalpojums ar dažādām cenām atkarībā no pieejamības, nodrošinot dārgāku augstas pieejamības pakalpojumu produkcijas sistēmām un dažādu līmeņu vidējas un zemas infrastruktūras pakalpojumu testa un izstrādes vidēm;</w:t>
      </w:r>
    </w:p>
    <w:p w:rsidR="00A668F7" w:rsidRDefault="00A668F7" w:rsidP="00A668F7">
      <w:pPr>
        <w:pStyle w:val="ListParagraph"/>
        <w:numPr>
          <w:ilvl w:val="0"/>
          <w:numId w:val="2"/>
        </w:numPr>
        <w:jc w:val="both"/>
      </w:pPr>
      <w:r>
        <w:t xml:space="preserve">pašapkalpošanās vide administratoriem, ar kuru iespējama vismaz pilnvērtīga virtuālo mašīnu pārvaldība un resursu pārdale tiešsaistes režīmā (pašlaik pieejams tikai rakstisks pieprasījums </w:t>
      </w:r>
      <w:r w:rsidRPr="008E1AF4">
        <w:t>LVRTC</w:t>
      </w:r>
      <w:r>
        <w:t xml:space="preserve"> inženieriem, turklāt izmaiņas paredzētas tikai pakalpojuma pielāgošanai pakalpojuma sākumposmā, lai novērtētu apjomu – sizing, nevis ikdienas un operatīvām izmaiņām pēc vajadzības);</w:t>
      </w:r>
    </w:p>
    <w:p w:rsidR="00A668F7" w:rsidRDefault="00A668F7" w:rsidP="00A668F7">
      <w:pPr>
        <w:pStyle w:val="ListParagraph"/>
        <w:numPr>
          <w:ilvl w:val="0"/>
          <w:numId w:val="2"/>
        </w:numPr>
        <w:jc w:val="both"/>
      </w:pPr>
      <w:r>
        <w:t xml:space="preserve">tiešsaistes mākoņpakalpojuma </w:t>
      </w:r>
      <w:r w:rsidRPr="008E1AF4">
        <w:t>application programming interface (API</w:t>
      </w:r>
      <w:r>
        <w:t>), kas atļauj veidot iestādei automatizētus risinājumus resursu izveidei, izmaiņām, uzraudzībai un likvidēšanai.</w:t>
      </w:r>
    </w:p>
    <w:p w:rsidR="00A668F7" w:rsidRDefault="00A668F7" w:rsidP="00A668F7">
      <w:pPr>
        <w:pStyle w:val="ListParagraph"/>
        <w:numPr>
          <w:ilvl w:val="0"/>
          <w:numId w:val="1"/>
        </w:numPr>
        <w:ind w:left="0" w:firstLine="360"/>
        <w:jc w:val="both"/>
      </w:pPr>
      <w:r>
        <w:t>Lūdzam pēc būtības iestrādāt izņēmumu protokollēmuma 4.2. punktā, paredzot, ka šādos izņēmuma gadījumos valsts institūcijas var veikt investīcijas un uzturēt savu infrastruktūru:</w:t>
      </w:r>
    </w:p>
    <w:p w:rsidR="00A668F7" w:rsidRDefault="00A668F7" w:rsidP="00A668F7">
      <w:pPr>
        <w:pStyle w:val="ListParagraph"/>
        <w:numPr>
          <w:ilvl w:val="0"/>
          <w:numId w:val="3"/>
        </w:numPr>
        <w:tabs>
          <w:tab w:val="left" w:pos="1134"/>
        </w:tabs>
        <w:jc w:val="both"/>
      </w:pPr>
      <w:r>
        <w:t>liela apjoma maksājumu veikšanas sistēmas, piemēram, SWIFT maksājumu apmaiņas sistēma, kurai ir noteiktas stingras ārējās drošības prasības gan pret infrastruktūru, gan programmatūru, kas ietver sevī konkrētus cilvēkus, kas drīkst veikt izmaiņas infrastruktūrā; šīs prasības attiecas ne tikai uz SWIFT infrastruktūru, bet daļēji visu saistīto maksājumu sistēmas infrastruktūru;</w:t>
      </w:r>
    </w:p>
    <w:p w:rsidR="00A668F7" w:rsidRDefault="00A668F7" w:rsidP="00A668F7">
      <w:pPr>
        <w:pStyle w:val="ListParagraph"/>
        <w:numPr>
          <w:ilvl w:val="0"/>
          <w:numId w:val="3"/>
        </w:numPr>
        <w:tabs>
          <w:tab w:val="left" w:pos="1134"/>
        </w:tabs>
        <w:jc w:val="both"/>
      </w:pPr>
      <w:r>
        <w:t>augsta riska ierobežotas pieejamības dati;</w:t>
      </w:r>
    </w:p>
    <w:p w:rsidR="00A668F7" w:rsidRDefault="00A668F7" w:rsidP="00A668F7">
      <w:pPr>
        <w:pStyle w:val="ListParagraph"/>
        <w:numPr>
          <w:ilvl w:val="0"/>
          <w:numId w:val="3"/>
        </w:numPr>
        <w:tabs>
          <w:tab w:val="left" w:pos="1134"/>
        </w:tabs>
        <w:jc w:val="both"/>
      </w:pPr>
      <w:r>
        <w:t>lūdzam precizēt, ka aizliegums uzturēt iestādes pārvaldībā infrastruktūru neattiecas uz tīkla/sistēmu aizsardzības/drošības sistēmām, piemēram, ugunsmūri, portu autentifikācijas sistēmām.</w:t>
      </w:r>
    </w:p>
    <w:p w:rsidR="00A668F7" w:rsidRDefault="00A668F7" w:rsidP="00A668F7">
      <w:pPr>
        <w:pStyle w:val="ListParagraph"/>
        <w:numPr>
          <w:ilvl w:val="0"/>
          <w:numId w:val="1"/>
        </w:numPr>
        <w:ind w:left="0" w:firstLine="360"/>
        <w:jc w:val="both"/>
      </w:pPr>
      <w:r w:rsidRPr="008F646C">
        <w:t>Iebilstam pret protokollēmuma 4.3. punktā noteikt</w:t>
      </w:r>
      <w:r>
        <w:t>o termiņu – līdz 2020. gada 30. </w:t>
      </w:r>
      <w:r w:rsidRPr="008F646C">
        <w:t>septembri</w:t>
      </w:r>
      <w:r w:rsidR="003A6F9E">
        <w:t>m</w:t>
      </w:r>
      <w:r w:rsidRPr="008F646C">
        <w:t>, līdz kuram ar VARAM jāsaskaņo priekšlikumi par ministriju un to padotības iestāžu datorizēto darba vietu lietotāju sadalījumu lietotāju grupās (profilos), atbilstoši darba funkciju prasībām pret darba vietu tehnoloģisko (t.sk. programmatūras) aprīkojumu, jo lai apzinātu visas lietotāju vajadzības būtu nepieciešams ilgāks laiks – ierosinām 6 mēneši, kopš protokollēmuma pieņemšanas brīža.</w:t>
      </w:r>
    </w:p>
    <w:p w:rsidR="00A668F7" w:rsidRDefault="00A668F7" w:rsidP="00A668F7">
      <w:pPr>
        <w:pStyle w:val="ListParagraph"/>
        <w:numPr>
          <w:ilvl w:val="0"/>
          <w:numId w:val="1"/>
        </w:numPr>
        <w:ind w:left="0" w:firstLine="360"/>
        <w:jc w:val="both"/>
      </w:pPr>
      <w:r>
        <w:t>Informatīvā ziņojuma 5. nodaļā</w:t>
      </w:r>
      <w:r w:rsidRPr="0019659C">
        <w:t xml:space="preserve"> minēts </w:t>
      </w:r>
      <w:r>
        <w:t xml:space="preserve">obligāts </w:t>
      </w:r>
      <w:r w:rsidRPr="0019659C">
        <w:t>priekšnoteikums skaitļošanas infrastruktūras koplietošanas pakalpojumu turpmākai attīstībai – datu centra infrastruktūras resursu apjoms un kompetenču esamība institūcijas rīcībā (turpmāk – priekšnoteikumi).</w:t>
      </w:r>
    </w:p>
    <w:p w:rsidR="00A668F7" w:rsidRDefault="00A668F7" w:rsidP="00A668F7">
      <w:pPr>
        <w:pStyle w:val="ListParagraph"/>
        <w:ind w:left="0" w:firstLine="360"/>
        <w:jc w:val="both"/>
      </w:pPr>
      <w:r>
        <w:t>Latvijas Republikas valdības un Amerikas Savienoto Valstu (turpmāk - ASV) valdības līguma par starptautisko nodokļu pienākumu izpildes uzlabošanu un likuma par ārvalstu kontu nodokļu pienākumu izpildi (FATCA) ieviešanu noslēgšana paredz stingrus drošības noteikumus Valsts ieņēmumu dienestam (turpmāk – VID) kā datu saņēmējam no ASV, kas prasa papildu drošības pārbaudes un atkārtotu sertifikāciju VID infrastruktūras pakalpojuma sniedzējiem. Līdzīgas prasības VID ir izvirzītas arī no Ekonomiskās sadarbības un attīstības organizācijas (OECD). Ņemot vērā minēto, priekšnoteikumi jāpapildina ar gadījumiem, kuri izriet no starptautiskām saistībām.</w:t>
      </w:r>
    </w:p>
    <w:p w:rsidR="00A668F7" w:rsidRDefault="00A668F7" w:rsidP="00A668F7">
      <w:pPr>
        <w:pStyle w:val="ListParagraph"/>
        <w:ind w:left="0" w:firstLine="360"/>
        <w:jc w:val="both"/>
      </w:pPr>
      <w:r>
        <w:t>Norādām, ka skaitļošanas infrastruktūras koplietošanas pakalpojumā nebūtu iekļaujama klasificētas informācijas infrastruktūra, kas nodrošina aizsargājamas informācijas apriti saskaņā ar Ministru Kabineta noteikumiem Nr.21 “Valsts noslēpuma, Ziemeļatlantijas līguma organizācijas, Eiropas Savienības un ārvalstu institūciju klasificētās informācijas aizsardzības noteikumi”.</w:t>
      </w:r>
    </w:p>
    <w:p w:rsidR="00A668F7" w:rsidRDefault="00A668F7" w:rsidP="00A668F7">
      <w:pPr>
        <w:pStyle w:val="ListParagraph"/>
        <w:ind w:left="0" w:firstLine="360"/>
        <w:jc w:val="both"/>
      </w:pPr>
      <w:r>
        <w:lastRenderedPageBreak/>
        <w:t>Papildus norādām, ka VID gadījumā skaitļošanas infrastruktūra ir kopā ar Valsts elektronisko pakalpojumu centru (turpmāk - VESPC), jo VID izmanto VESPC statņu nomas pakalpojumu. Ierosinām aizstāt vārdu “pārvaldībā” ar “rīcībā”.</w:t>
      </w:r>
    </w:p>
    <w:p w:rsidR="00A668F7" w:rsidRDefault="00A668F7" w:rsidP="00A668F7">
      <w:pPr>
        <w:pStyle w:val="ListParagraph"/>
        <w:ind w:left="0" w:firstLine="360"/>
        <w:jc w:val="both"/>
      </w:pPr>
      <w:r>
        <w:t>Pirms VESPC statņu nomas pakalpojuma uzsākšanas tika apzināti VESPC sniegtie pakalpojumi un izmaksas. Tika secināts, ka izmaksas attālinātas rezerves kopijas izveidei attālinātā datu centrā pie VID nepieciešamajiem datu uzglabāšanas apjomiem 60 mēnešu periodā būtu 3 reizes lielākas nekā gadījumā, ja pakalpojumu organizē VID.</w:t>
      </w:r>
    </w:p>
    <w:p w:rsidR="00A668F7" w:rsidRDefault="00A668F7" w:rsidP="00A668F7">
      <w:pPr>
        <w:pStyle w:val="ListParagraph"/>
        <w:ind w:left="0" w:firstLine="360"/>
        <w:jc w:val="both"/>
      </w:pPr>
      <w:r>
        <w:t>Šobrīd VID rīcībā ir 2 355 serveru nosacītās vienības un tiek nodrošināts pakalpojums 3 631 datorizētajai darba vietai.</w:t>
      </w:r>
    </w:p>
    <w:p w:rsidR="00A668F7" w:rsidRDefault="00A668F7" w:rsidP="00A668F7">
      <w:pPr>
        <w:pStyle w:val="ListParagraph"/>
        <w:ind w:left="0" w:firstLine="360"/>
        <w:jc w:val="both"/>
      </w:pPr>
      <w:r>
        <w:t>Ņemot vērā minēto, lūdzam informatīvā ziņojuma 5. nodaļas 5.rindkopu (11.lpp) izteikt šādā redakcijā:</w:t>
      </w:r>
    </w:p>
    <w:p w:rsidR="00A668F7" w:rsidRDefault="00A668F7" w:rsidP="00A668F7">
      <w:pPr>
        <w:pStyle w:val="ListParagraph"/>
        <w:ind w:left="0" w:firstLine="360"/>
        <w:jc w:val="both"/>
      </w:pPr>
      <w:r>
        <w:t>“Obligāts priekšnoteikums skaitļošanas infrastruktūras koplietošanas pakalpojumu turpmākai attīstībai ir atbilstošu spēju – datu centru infrastruktūras un kompetenču esamība institūcijas rīcībā, atbilstība starptautisko saistību izpildei. Ņemot vērā apjoma ieguvumus skaitļošanas infrastruktūras  pakalpojumu jomā, minimālā prasība pieejamās un produktīvi izmantojamās infrastruktūras apjomam ir datu apstrādes un uzkrāšanas iekārtu vismaz 750 nosacīto statņu augstuma vienību  apmērā, pakalpojuma sniedzēja rīcībā esošā datu centrā, kas tehniski nodrošina iespējas sniegt TIER 2 prasību līmenim atbilstošus skaitļošanas infrastruktūras pakalpojumus.”</w:t>
      </w:r>
    </w:p>
    <w:p w:rsidR="00A668F7" w:rsidRDefault="00A668F7" w:rsidP="00A668F7">
      <w:pPr>
        <w:pStyle w:val="ListParagraph"/>
        <w:numPr>
          <w:ilvl w:val="0"/>
          <w:numId w:val="1"/>
        </w:numPr>
        <w:ind w:left="0" w:firstLine="360"/>
        <w:jc w:val="both"/>
      </w:pPr>
      <w:r>
        <w:t>Iebilstam pret informatīvā ziņojuma 5. no</w:t>
      </w:r>
      <w:r w:rsidRPr="00584262">
        <w:t>d</w:t>
      </w:r>
      <w:r>
        <w:t>aļas 3) punkta a. apakšpunktā minēto, ka “</w:t>
      </w:r>
      <w:r w:rsidRPr="00584262">
        <w:t>koplietošanas pakalpojumu sniedzēja infrastruktūrā konteineru pārvaldības līmenī sadarbspējīgai mākoņdatošanas infrastruktūrai veidos vismaz 30% no kopējā skaitļošanas infrastruktūras apjoma, turpmākās attīstības plānā paredzot līdz 2024. gada 30. novembrim šīs daļa</w:t>
      </w:r>
      <w:r>
        <w:t>s palielināšanu līdz vismaz 50%”.</w:t>
      </w:r>
      <w:r w:rsidRPr="00584262">
        <w:t xml:space="preserve"> </w:t>
      </w:r>
    </w:p>
    <w:p w:rsidR="00A668F7" w:rsidRDefault="00A668F7" w:rsidP="00A668F7">
      <w:pPr>
        <w:pStyle w:val="ListParagraph"/>
        <w:ind w:left="0" w:firstLine="360"/>
        <w:jc w:val="both"/>
      </w:pPr>
      <w:r>
        <w:t xml:space="preserve">Konteinerizācija kā prakse sāka izplatīties 2012.gadā, tas nozīmē, ka informācijas sistēmas (IS), kuru izstrāde ir uzsākta pirms 2012.gada, nevarēs izmantot šādu infrastruktūru bez pilnīgas pārstrādes, kam nepieciešami būtiski finanšu resursi. Piemēram, VID pēc savas iniciatīvas šobrīd veic Akcīzes preču pārvietošanas un kontroles sistēma (turpmāk - EMCS) modernizāciju, pārejot uz konteineru infrastruktūru, un modernizācijas izmaksas ir salīdzināmas ar EMCS sākotnējām izstrādes izmaksām un ieguldāmiem resursiem no VID puses. </w:t>
      </w:r>
    </w:p>
    <w:p w:rsidR="00A668F7" w:rsidRDefault="00A668F7" w:rsidP="00A668F7">
      <w:pPr>
        <w:pStyle w:val="ListParagraph"/>
        <w:ind w:left="0" w:firstLine="360"/>
        <w:jc w:val="both"/>
      </w:pPr>
      <w:r>
        <w:t>Turklāt visām VID IS nav iespējama konteinerizācija. VID IS, kuras veic datu apmaiņu ar Eiropas Komisijas (turpmāk - EK) centralizētajām sistēmām, izmantojot EK uzturēto CSI (common system interface), kas tehnoloģiski ir radīts 1993.gadā, ir tehnoloģiskie ierobežojumi, kas izriet no sistēmas īpatnībām – katrai sistēmai, kas apmainās, izmantojot CSI, ir jāiebūvē īpašs datu apmaiņas modulis, kuru tehnoloģisko ierobežojumu dēļ nav iespējams konteinerizēt.</w:t>
      </w:r>
    </w:p>
    <w:p w:rsidR="00A668F7" w:rsidRDefault="00A668F7" w:rsidP="00A668F7">
      <w:pPr>
        <w:pStyle w:val="ListParagraph"/>
        <w:ind w:left="0" w:firstLine="360"/>
        <w:jc w:val="both"/>
      </w:pPr>
      <w:r>
        <w:t>Finanšu ministrijas ieskatā skaitļošanas pakalpojumu struktūru jānosaka pēc pieprasījuma, t.i. atbilstoši valsts pārvaldes iestāžu rīcībā esošo informācijas sistēmu arhitektūrai.</w:t>
      </w:r>
    </w:p>
    <w:p w:rsidR="00A668F7" w:rsidRDefault="00A668F7" w:rsidP="00A668F7">
      <w:pPr>
        <w:pStyle w:val="ListParagraph"/>
        <w:ind w:left="0" w:firstLine="360"/>
        <w:jc w:val="both"/>
      </w:pPr>
      <w:r>
        <w:t xml:space="preserve">VID 75% no kopējās skaitļošanas infrastruktūras apjoma sastāda Datu noliktavas sistēma (DNS), Maksājumu administrēšanas informācijas sistēma (MAIS), Elektroniskā muitas datu apstrādes sistēma (turpmāk - EMDAS), Elektroniskās deklarēšanas sistēma (EDS). Norādām, ka EMDAS un EDS būtu lietderīgi pāriet uz konteineru izmantošanu. Lai to varētu izdarīt, 2021.gadā un 2022.gadā provizoriski nepieciešami papildu finanšu līdzekļi vismaz 8 milj. </w:t>
      </w:r>
      <w:r w:rsidRPr="00186FE6">
        <w:rPr>
          <w:i/>
        </w:rPr>
        <w:t>euro</w:t>
      </w:r>
      <w:r>
        <w:t xml:space="preserve"> apmērā.</w:t>
      </w:r>
    </w:p>
    <w:p w:rsidR="00A668F7" w:rsidRDefault="00A668F7" w:rsidP="00A668F7">
      <w:pPr>
        <w:pStyle w:val="ListParagraph"/>
        <w:ind w:left="0" w:firstLine="360"/>
        <w:jc w:val="both"/>
      </w:pPr>
      <w:r>
        <w:t xml:space="preserve">Ņemot vērā minēto, ierosinām mainīt informatīvā ziņojuma 5. nodaļas 3) punkta a. apakšpunktā noteiktos termiņus un procentuālo apjomu, to nosakot no lietderīgā iespējamā IS nepieciešamā skaitļošanas infrastruktūras apjoma. </w:t>
      </w:r>
    </w:p>
    <w:p w:rsidR="00A668F7" w:rsidRDefault="00A668F7" w:rsidP="00A668F7">
      <w:pPr>
        <w:pStyle w:val="ListParagraph"/>
        <w:ind w:left="0" w:firstLine="360"/>
        <w:jc w:val="both"/>
      </w:pPr>
      <w:r>
        <w:t xml:space="preserve">Informējam, ka VID IS vidējais dzīvescikls ir 15 gadi. </w:t>
      </w:r>
    </w:p>
    <w:p w:rsidR="00A668F7" w:rsidRDefault="00A668F7" w:rsidP="00A668F7">
      <w:pPr>
        <w:pStyle w:val="ListParagraph"/>
        <w:ind w:left="0" w:firstLine="360"/>
        <w:jc w:val="both"/>
      </w:pPr>
      <w:r>
        <w:t>Ņemot vērā minēto, lūdzam informatīvā ziņojuma 5. nodaļas 3) punktu un a. apakšpunktu izteikt šādā redakcijā:</w:t>
      </w:r>
    </w:p>
    <w:p w:rsidR="00A668F7" w:rsidRDefault="00A668F7" w:rsidP="00A668F7">
      <w:pPr>
        <w:pStyle w:val="ListParagraph"/>
        <w:ind w:left="0" w:firstLine="360"/>
        <w:jc w:val="both"/>
      </w:pPr>
      <w:r>
        <w:lastRenderedPageBreak/>
        <w:t>“3) skaitļošanas infrastruktūras pakalpojuma sniedzēja attīstības plānam ir jāparedz līdz 2027. gada 30. jūnijam nodrošināt, ka:</w:t>
      </w:r>
    </w:p>
    <w:p w:rsidR="00A668F7" w:rsidRDefault="00A668F7" w:rsidP="00A668F7">
      <w:pPr>
        <w:pStyle w:val="ListParagraph"/>
        <w:numPr>
          <w:ilvl w:val="0"/>
          <w:numId w:val="5"/>
        </w:numPr>
        <w:ind w:left="0" w:firstLine="360"/>
        <w:jc w:val="both"/>
      </w:pPr>
      <w:r>
        <w:t>koplietošanas pakalpojumu sniedzēja infrastruktūrā konteineru pārvaldības līmenī sadarbspējīgai mākoņdatošanas infrastruktūrai veidos vismaz 30% noteikt no lietderīgā iespējamā informācijas sistēmām nepieciešamā skaitļošanas infrastruktūras apjoma, turpmākās attīstības plānā paredzot līdz 2030. gada 30. novembrim šīs daļas palielināšanu līdz vismaz 50%; ”.</w:t>
      </w:r>
    </w:p>
    <w:p w:rsidR="00A668F7" w:rsidRDefault="00A668F7" w:rsidP="00A668F7">
      <w:pPr>
        <w:pStyle w:val="ListParagraph"/>
        <w:ind w:left="0" w:firstLine="360"/>
        <w:jc w:val="both"/>
      </w:pPr>
      <w:r>
        <w:t>Tāpat v</w:t>
      </w:r>
      <w:r w:rsidRPr="00584262">
        <w:t>ēršam uzmanību uz to, ka konteinerizācija nebūs realizējama attiecībā uz valsts informācijas sistēmā izmantoto datubāzi (piemēram, Clusterpoint), kā arī valsts informācijas sistēmas konteinerizācija radīs iestādēm</w:t>
      </w:r>
      <w:r>
        <w:t xml:space="preserve"> papildu izmaksas.</w:t>
      </w:r>
    </w:p>
    <w:p w:rsidR="00A668F7" w:rsidRDefault="00A668F7" w:rsidP="00A668F7">
      <w:pPr>
        <w:pStyle w:val="ListParagraph"/>
        <w:numPr>
          <w:ilvl w:val="0"/>
          <w:numId w:val="1"/>
        </w:numPr>
        <w:ind w:left="0" w:firstLine="360"/>
        <w:jc w:val="both"/>
      </w:pPr>
      <w:r>
        <w:t>Informatīvā ziņojuma 5. nodaļas 3) punkta c. apakšpunktā noteikts, ka lietotāju atbalsta sistēma ir integrēta ar valsts līmeņa IKT pakalpojumu un resursu pārvaldības sistēmu VIRSIS.</w:t>
      </w:r>
    </w:p>
    <w:p w:rsidR="00A668F7" w:rsidRDefault="00A668F7" w:rsidP="00A668F7">
      <w:pPr>
        <w:pStyle w:val="ListParagraph"/>
        <w:ind w:left="0" w:firstLine="360"/>
        <w:jc w:val="both"/>
      </w:pPr>
      <w:r>
        <w:t>Norādām, ka nav saprotams prasības mērķis un lietderība šo sistēmu integrācijai, tādēļ ierosinām to svītrot, izsakot informatīvā ziņojuma 5. nodaļas 3) punkta c. apakšpunktu šādā redakcijā:</w:t>
      </w:r>
    </w:p>
    <w:p w:rsidR="00A668F7" w:rsidRDefault="00A668F7" w:rsidP="00A668F7">
      <w:pPr>
        <w:pStyle w:val="ListParagraph"/>
        <w:ind w:left="0" w:firstLine="360"/>
        <w:jc w:val="both"/>
      </w:pPr>
      <w:r>
        <w:t xml:space="preserve">“c. datu apstrādes pakalpojumu pārvaldībai tiek izmantota pakalpojumu pārvaldības un lietotāju atbalsta sistēmu (angl. </w:t>
      </w:r>
      <w:r w:rsidRPr="001606BB">
        <w:rPr>
          <w:i/>
        </w:rPr>
        <w:t>service desk</w:t>
      </w:r>
      <w:r>
        <w:t>)”.</w:t>
      </w:r>
    </w:p>
    <w:p w:rsidR="00A668F7" w:rsidRDefault="00A668F7" w:rsidP="00A668F7">
      <w:pPr>
        <w:pStyle w:val="ListParagraph"/>
        <w:numPr>
          <w:ilvl w:val="0"/>
          <w:numId w:val="1"/>
        </w:numPr>
        <w:ind w:left="0" w:firstLine="360"/>
        <w:jc w:val="both"/>
      </w:pPr>
      <w:r>
        <w:t>Lūdzam papildināt informatīvā ziņojuma 6.nodaļu</w:t>
      </w:r>
      <w:r w:rsidRPr="008F646C">
        <w:t xml:space="preserve"> ar uz detalizētiem aprēķiniem balstītu pamatojumu, kāpēc datorizēto darba vietu pakalpojums ir racionāls, tieši</w:t>
      </w:r>
      <w:r w:rsidR="003A6F9E">
        <w:t>,</w:t>
      </w:r>
      <w:r w:rsidRPr="008F646C">
        <w:t xml:space="preserve"> sākot no 3000 darba vietām un ne mazāka apjoma, piemēram, nav saprotams ieguvums, kas rodas valsts budžetam, ja datorizēto darba vietu apjoms ir tāds, ka šī pakalpojuma nodrošināšanai tiek izmantota pilnas darbinieku slodzes, kas, piemēram, salīdzinot ar ziņojumā piedāvāto vienu no alternatīvām – komerciālu ārpakalpojumu izmantošanu ir lētākas (pieņēmums izdarīts, salīdzinot pilnas slodzes komerciāla ārpakalpojuma ekvivalentu komerciāla ārpakalpojuma gadījumā un darbinieka atalgojuma gadījumā). </w:t>
      </w:r>
      <w:r>
        <w:t>B</w:t>
      </w:r>
      <w:r w:rsidRPr="008F646C">
        <w:t xml:space="preserve">ez detalizētiem aprēķiniem šajā </w:t>
      </w:r>
      <w:r>
        <w:t xml:space="preserve">informatīvajā </w:t>
      </w:r>
      <w:r w:rsidRPr="008F646C">
        <w:t>ziņojumā šķiet, ka ieguvums no ārpakalpojuma vai koplietošanas pakalpojuma varētu būt tikai tajos gadījumos, ja iestāde šī pakalpojuma nodrošināšanai tērē nepilnu/as darbinieku slodzi/es.</w:t>
      </w:r>
    </w:p>
    <w:p w:rsidR="00A668F7" w:rsidRDefault="00A668F7" w:rsidP="00A668F7">
      <w:pPr>
        <w:pStyle w:val="ListParagraph"/>
        <w:numPr>
          <w:ilvl w:val="0"/>
          <w:numId w:val="1"/>
        </w:numPr>
        <w:ind w:left="0" w:firstLine="360"/>
        <w:jc w:val="both"/>
      </w:pPr>
      <w:r>
        <w:t>Iebilstam pret informatīvā ziņojuma 6. nodaļas 2. p</w:t>
      </w:r>
      <w:r w:rsidRPr="00584262">
        <w:t>unktā minēto – ja datorizēto darba vietu nodrošināšanas pakalpojums ietver visu apkalpojamo datorizēto darba vietu attālinātu pārvaldību, nodrošinot vismaz programmatūras attālinātas atjaunināšanas (ielāpi) un datorlietotāju attālināta inter</w:t>
      </w:r>
      <w:r>
        <w:t>aktīva atbalsta funkcionalitāti.</w:t>
      </w:r>
      <w:r w:rsidRPr="00584262">
        <w:t xml:space="preserve"> </w:t>
      </w:r>
      <w:r>
        <w:t xml:space="preserve">Lūdzam papildināt informatīvo ziņojumu ar informāciju, </w:t>
      </w:r>
      <w:r w:rsidRPr="00584262">
        <w:t>vai tādā gadījumā iestādes IKT darbinieki turpinās pārvaldīt iestādes datortīkla drošību, nodrošinās datorparka uzturēšanu un lietotāju klātienes pro</w:t>
      </w:r>
      <w:r>
        <w:t>blēmu risināšanu.</w:t>
      </w:r>
      <w:r w:rsidRPr="00584262">
        <w:t xml:space="preserve"> </w:t>
      </w:r>
      <w:r>
        <w:t>Norādām</w:t>
      </w:r>
      <w:r w:rsidRPr="00584262">
        <w:t>, ka IKT atbalsta sniegšana lietotājiem vienas iestādes ietvaros ir operatīvāka un kvalitatīvāka par attālināti nodrošinātiem ārpakalpojuma sniedzēju pakalpojumiem</w:t>
      </w:r>
      <w:r>
        <w:t>, jo īpaši steidzamos gadījumos.</w:t>
      </w:r>
    </w:p>
    <w:p w:rsidR="00A668F7" w:rsidRDefault="00A668F7" w:rsidP="00A668F7">
      <w:pPr>
        <w:pStyle w:val="ListParagraph"/>
        <w:numPr>
          <w:ilvl w:val="0"/>
          <w:numId w:val="1"/>
        </w:numPr>
        <w:ind w:left="0" w:firstLine="360"/>
        <w:jc w:val="both"/>
      </w:pPr>
      <w:r>
        <w:t xml:space="preserve">Informatīvā ziņojuma 6. nodaļas </w:t>
      </w:r>
      <w:r w:rsidRPr="004E2547">
        <w:t>4) punktā noteikts, ka lietotāju atbalsta sistēma ir integrēta ar valsts līmeņa IKT pakalpojumu un resursu pārvaldības sistēmu VIRSIS</w:t>
      </w:r>
      <w:r>
        <w:t>.</w:t>
      </w:r>
    </w:p>
    <w:p w:rsidR="00A668F7" w:rsidRDefault="00A668F7" w:rsidP="00A668F7">
      <w:pPr>
        <w:pStyle w:val="ListParagraph"/>
        <w:ind w:left="0" w:firstLine="360"/>
        <w:jc w:val="both"/>
      </w:pPr>
      <w:r w:rsidRPr="004E2547">
        <w:t>Nav saprotams prasības mērķis un lietderība šo sistēmu integrācijai, tādēļ i</w:t>
      </w:r>
      <w:r>
        <w:t xml:space="preserve">erosinām to svītrot, izsakot 6. nodaļas </w:t>
      </w:r>
      <w:r w:rsidRPr="004E2547">
        <w:t>4) punktu šādā redakcijā:</w:t>
      </w:r>
    </w:p>
    <w:p w:rsidR="00A668F7" w:rsidRDefault="00A668F7" w:rsidP="00A668F7">
      <w:pPr>
        <w:pStyle w:val="ListParagraph"/>
        <w:ind w:left="0" w:firstLine="360"/>
        <w:jc w:val="both"/>
      </w:pPr>
      <w:r w:rsidRPr="004E2547">
        <w:t>“4. datorizēto darba vietu pārvaldības un lietotāju atbalsta risinājums izmanto centralizētu pakalpojumu pārvaldības un lietotāju atbalsta sistēmu (service desk)”.</w:t>
      </w:r>
    </w:p>
    <w:p w:rsidR="00A668F7" w:rsidRDefault="00A668F7" w:rsidP="00A668F7">
      <w:pPr>
        <w:pStyle w:val="ListParagraph"/>
        <w:numPr>
          <w:ilvl w:val="0"/>
          <w:numId w:val="1"/>
        </w:numPr>
        <w:ind w:left="0" w:firstLine="360"/>
        <w:jc w:val="both"/>
      </w:pPr>
      <w:r w:rsidRPr="00307053">
        <w:t>Informatīv</w:t>
      </w:r>
      <w:r>
        <w:t>ā ziņojuma 7.nodaļas 1) punktā</w:t>
      </w:r>
      <w:r w:rsidRPr="00307053">
        <w:t xml:space="preserve"> </w:t>
      </w:r>
      <w:r>
        <w:t xml:space="preserve">tiek piedāvāts </w:t>
      </w:r>
      <w:r w:rsidRPr="00307053">
        <w:t>nodalīt koplietošanas pakalpojumu sniegšanas finansējumu atsevišķi nodalītās valsts budžeta apakšprogrammās un turpmāk, ņemot vērā koplietošanas pakalpojumu nozīmību, prioritāri piešķirt valsts budžeta finansējumu koplietošanas pakalpojumu apakšprogrammām ikgadējā val</w:t>
      </w:r>
      <w:r>
        <w:t>sts budžeta plānošanas procesā.</w:t>
      </w:r>
    </w:p>
    <w:p w:rsidR="00A668F7" w:rsidRDefault="00A668F7" w:rsidP="00A668F7">
      <w:pPr>
        <w:pStyle w:val="ListParagraph"/>
        <w:ind w:left="0" w:firstLine="360"/>
        <w:jc w:val="both"/>
      </w:pPr>
      <w:r w:rsidRPr="00DE47A7">
        <w:t>Ņemot vērā, ka budžeta programmu (apakšprogrammu) veidošanas principus nosaka Ministru kabineta 2012.</w:t>
      </w:r>
      <w:r>
        <w:t> </w:t>
      </w:r>
      <w:r w:rsidRPr="00DE47A7">
        <w:t>gada 31.</w:t>
      </w:r>
      <w:r>
        <w:t> </w:t>
      </w:r>
      <w:r w:rsidRPr="00DE47A7">
        <w:t xml:space="preserve">jūlija noteikumi Nr.523 “Noteikumi par budžeta pieprasījumu izstrādāšanas un iesniegšanas pamatprincipiem”, lūdzam papildināt informatīvo ziņojumu, kā </w:t>
      </w:r>
      <w:r w:rsidRPr="00DE47A7">
        <w:lastRenderedPageBreak/>
        <w:t>minētais ierosinājums nodalīt koplietošanas pakalpojumu sniegšanas finansējumu atsevišķi nodalītās valsts budžeta apakšprogrammās ir samērojams ar normatīvo aktu prasībām.</w:t>
      </w:r>
    </w:p>
    <w:p w:rsidR="00A668F7" w:rsidRDefault="00A668F7" w:rsidP="00A668F7">
      <w:pPr>
        <w:pStyle w:val="ListParagraph"/>
        <w:numPr>
          <w:ilvl w:val="0"/>
          <w:numId w:val="1"/>
        </w:numPr>
        <w:ind w:left="0" w:firstLine="360"/>
        <w:jc w:val="both"/>
      </w:pPr>
      <w:r w:rsidRPr="00DE47A7">
        <w:t>Norādām, ka budžeta plānošanas process ir noteikts Ministru kabineta 2012.</w:t>
      </w:r>
      <w:r>
        <w:t> </w:t>
      </w:r>
      <w:r w:rsidRPr="00DE47A7">
        <w:t>gada 11.</w:t>
      </w:r>
      <w:r>
        <w:t> </w:t>
      </w:r>
      <w:r w:rsidRPr="00DE47A7">
        <w:t>decembra noteikumos Nr.867 “Kārtība, kādā nosakāms maksimāli pieļaujamais valsts budžeta izdevumu kopapjoms un maksimāli pieļaujamais valsts budžeta izdevumu kopējais apjoms katrai ministrijai un citām centrālajām valsts iestādēm vidējam termiņam” un atbilstoši tiem, tiek noteikti pamatbudžeta bāzes izdevumi, savukārt jautājumi par papildu finansējumu tiek skatīti prioritāro pasākumu ietvaros, attiecīgi lūdzam precizēt informatīvajā ziņojumā sniegto informāciju par prioritāro finansējuma piešķiršanu koplietošanas pakalpojumiem.</w:t>
      </w:r>
    </w:p>
    <w:p w:rsidR="00A668F7" w:rsidRPr="00DA2084" w:rsidRDefault="00A668F7" w:rsidP="00A668F7">
      <w:pPr>
        <w:ind w:left="720"/>
        <w:rPr>
          <w:u w:val="single"/>
        </w:rPr>
      </w:pPr>
      <w:r w:rsidRPr="00DA2084">
        <w:rPr>
          <w:u w:val="single"/>
        </w:rPr>
        <w:t>Priekšlikumi.</w:t>
      </w:r>
    </w:p>
    <w:p w:rsidR="00A668F7" w:rsidRDefault="00A668F7" w:rsidP="00A668F7">
      <w:pPr>
        <w:pStyle w:val="ListParagraph"/>
        <w:numPr>
          <w:ilvl w:val="0"/>
          <w:numId w:val="4"/>
        </w:numPr>
        <w:tabs>
          <w:tab w:val="left" w:pos="709"/>
        </w:tabs>
        <w:ind w:left="0" w:firstLine="426"/>
        <w:jc w:val="both"/>
      </w:pPr>
      <w:r w:rsidRPr="00DE47A7">
        <w:t xml:space="preserve">Lūdzam papildināt </w:t>
      </w:r>
      <w:r>
        <w:t xml:space="preserve">informatīvā </w:t>
      </w:r>
      <w:r w:rsidRPr="00DE47A7">
        <w:t>ziņojuma 7.</w:t>
      </w:r>
      <w:r>
        <w:t>no</w:t>
      </w:r>
      <w:r w:rsidRPr="00DE47A7">
        <w:t>daļu ar detalizētāku informāciju attiecībā uz kompetenču ce</w:t>
      </w:r>
      <w:r>
        <w:t>ntru (turpmāk – KC) funkcijām, k</w:t>
      </w:r>
      <w:r w:rsidRPr="00DE47A7">
        <w:t>ā arī sniegt informāciju, vai minēto KC darbība būs saistīta ar darbības programmas “Izaugsme un nodarbinātība” 1.2.1.1. pasākuma “Atbalsts jaunu produktu un tehnoloģiju izstrādei kompetences centru ietvaros” ietvaros funkcionējošiem KC.</w:t>
      </w:r>
    </w:p>
    <w:p w:rsidR="00A668F7" w:rsidRDefault="00A668F7" w:rsidP="00A668F7">
      <w:pPr>
        <w:pStyle w:val="ListParagraph"/>
        <w:numPr>
          <w:ilvl w:val="0"/>
          <w:numId w:val="4"/>
        </w:numPr>
        <w:tabs>
          <w:tab w:val="left" w:pos="709"/>
        </w:tabs>
        <w:ind w:left="0" w:firstLine="426"/>
        <w:jc w:val="both"/>
      </w:pPr>
      <w:r>
        <w:t>Informatīvajā ziņojumā nav iekļauta informācija un turpmākā plānotā rīcība attiecībā uz iestādes drošības perimetra pārvaldību, tīkla pārvaldību, kontaktcentriem un IP centrālēm. Lūdzam precizēt informatīvo ziņojumu:</w:t>
      </w:r>
    </w:p>
    <w:p w:rsidR="00A668F7" w:rsidRDefault="00A668F7" w:rsidP="00A668F7">
      <w:pPr>
        <w:pStyle w:val="ListParagraph"/>
        <w:numPr>
          <w:ilvl w:val="0"/>
          <w:numId w:val="6"/>
        </w:numPr>
        <w:tabs>
          <w:tab w:val="left" w:pos="1134"/>
        </w:tabs>
        <w:ind w:left="1134" w:hanging="425"/>
        <w:jc w:val="both"/>
      </w:pPr>
      <w:r>
        <w:t>norādot, ka informatīvais ziņojums neskar šādu būtisku IKT sadaļu: iestādes drošības perimetra pārvaldību, tīkla pārvaldību, kontaktcentrus un IP centrāles,</w:t>
      </w:r>
    </w:p>
    <w:p w:rsidR="00A668F7" w:rsidRDefault="00A668F7" w:rsidP="00A668F7">
      <w:pPr>
        <w:pStyle w:val="ListParagraph"/>
        <w:numPr>
          <w:ilvl w:val="0"/>
          <w:numId w:val="6"/>
        </w:numPr>
        <w:tabs>
          <w:tab w:val="left" w:pos="1134"/>
        </w:tabs>
        <w:ind w:left="1134" w:hanging="425"/>
        <w:jc w:val="both"/>
      </w:pPr>
      <w:r>
        <w:t>vai attiecīgi papildināt ar turpmāko plānoto rīcību šādai būtiskai IKT sadaļai: iestādes drošības perimetra pārvaldību, tīkla pārvaldību, kontaktcentrus un IP centrāles.</w:t>
      </w:r>
    </w:p>
    <w:p w:rsidR="00A668F7" w:rsidRDefault="00A668F7" w:rsidP="00A668F7">
      <w:pPr>
        <w:pStyle w:val="ListParagraph"/>
        <w:numPr>
          <w:ilvl w:val="0"/>
          <w:numId w:val="4"/>
        </w:numPr>
        <w:tabs>
          <w:tab w:val="left" w:pos="709"/>
        </w:tabs>
        <w:ind w:left="0" w:firstLine="426"/>
        <w:jc w:val="both"/>
      </w:pPr>
      <w:r>
        <w:t>Informatīvā ziņojuma 6. nodaļā aprakstīts par darba vietu lietotāju grupām (profiliem). Standarta un unificēta profila aprakstam jābūt detalizētākam. Sniedzam priekšlikumus lietotāju profilu izveidošanai:</w:t>
      </w:r>
    </w:p>
    <w:p w:rsidR="00A668F7" w:rsidRDefault="00A668F7" w:rsidP="00A668F7">
      <w:pPr>
        <w:pStyle w:val="ListParagraph"/>
        <w:numPr>
          <w:ilvl w:val="0"/>
          <w:numId w:val="7"/>
        </w:numPr>
        <w:tabs>
          <w:tab w:val="left" w:pos="1134"/>
        </w:tabs>
      </w:pPr>
      <w:r>
        <w:t>standartprogrammatūras lietotāju profils,</w:t>
      </w:r>
    </w:p>
    <w:p w:rsidR="00A668F7" w:rsidRDefault="00A668F7" w:rsidP="00A668F7">
      <w:pPr>
        <w:pStyle w:val="ListParagraph"/>
        <w:numPr>
          <w:ilvl w:val="0"/>
          <w:numId w:val="7"/>
        </w:numPr>
        <w:tabs>
          <w:tab w:val="left" w:pos="1134"/>
        </w:tabs>
        <w:jc w:val="both"/>
      </w:pPr>
      <w:r>
        <w:t>specializētie lietotāju profili (piemēram, datu analītiķi, IKT speciālisti, profils operatīvās darbības nodrošināšanai, audio un vizuālo materiālu apstrādes speciālisti, specializēto iekārtu operatoru darba vietas (piemēram, muitas kravu rentgena iekārtas)).</w:t>
      </w:r>
    </w:p>
    <w:p w:rsidR="00557B49" w:rsidRPr="00615936" w:rsidRDefault="00557B49" w:rsidP="007F3771">
      <w:pPr>
        <w:rPr>
          <w:szCs w:val="24"/>
        </w:rPr>
      </w:pPr>
    </w:p>
    <w:p w:rsidR="003F2252" w:rsidRPr="00615936" w:rsidRDefault="003F2252" w:rsidP="007F3771">
      <w:pPr>
        <w:rPr>
          <w:szCs w:val="24"/>
        </w:rPr>
      </w:pP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1984"/>
        <w:gridCol w:w="2977"/>
      </w:tblGrid>
      <w:tr w:rsidR="00AA6DC1" w:rsidRPr="00615936" w:rsidTr="00AA6DC1">
        <w:tc>
          <w:tcPr>
            <w:tcW w:w="4395" w:type="dxa"/>
          </w:tcPr>
          <w:p w:rsidR="00AA6DC1" w:rsidRPr="00615936" w:rsidRDefault="00A56AA6" w:rsidP="007F3771">
            <w:pPr>
              <w:rPr>
                <w:szCs w:val="24"/>
              </w:rPr>
            </w:pPr>
            <w:r>
              <w:rPr>
                <w:szCs w:val="24"/>
              </w:rPr>
              <w:t>Administrācijas vadītāja</w:t>
            </w:r>
          </w:p>
        </w:tc>
        <w:tc>
          <w:tcPr>
            <w:tcW w:w="1984" w:type="dxa"/>
          </w:tcPr>
          <w:p w:rsidR="00AA6DC1" w:rsidRDefault="00AA6DC1" w:rsidP="00AA6DC1">
            <w:pPr>
              <w:jc w:val="center"/>
              <w:rPr>
                <w:szCs w:val="24"/>
              </w:rPr>
            </w:pPr>
            <w:bookmarkStart w:id="7" w:name="edoc_info2"/>
            <w:r>
              <w:rPr>
                <w:szCs w:val="24"/>
              </w:rPr>
              <w:t>(paraksts*)</w:t>
            </w:r>
            <w:bookmarkEnd w:id="7"/>
          </w:p>
        </w:tc>
        <w:tc>
          <w:tcPr>
            <w:tcW w:w="2977" w:type="dxa"/>
            <w:vAlign w:val="bottom"/>
          </w:tcPr>
          <w:p w:rsidR="00AA6DC1" w:rsidRPr="00615936" w:rsidRDefault="00A56AA6" w:rsidP="00483407">
            <w:pPr>
              <w:jc w:val="right"/>
              <w:rPr>
                <w:szCs w:val="24"/>
              </w:rPr>
            </w:pPr>
            <w:r>
              <w:rPr>
                <w:szCs w:val="24"/>
              </w:rPr>
              <w:t>I.Braunfelde</w:t>
            </w:r>
          </w:p>
        </w:tc>
      </w:tr>
      <w:tr w:rsidR="00AA6DC1" w:rsidRPr="00615936" w:rsidTr="00AA6DC1">
        <w:tc>
          <w:tcPr>
            <w:tcW w:w="4395" w:type="dxa"/>
          </w:tcPr>
          <w:p w:rsidR="00AA6DC1" w:rsidRPr="00615936" w:rsidRDefault="00AA6DC1" w:rsidP="007F3771">
            <w:pPr>
              <w:rPr>
                <w:szCs w:val="24"/>
              </w:rPr>
            </w:pPr>
          </w:p>
        </w:tc>
        <w:tc>
          <w:tcPr>
            <w:tcW w:w="1984" w:type="dxa"/>
          </w:tcPr>
          <w:p w:rsidR="00AA6DC1" w:rsidRPr="00615936" w:rsidRDefault="00AA6DC1" w:rsidP="000C0DD4">
            <w:pPr>
              <w:jc w:val="right"/>
              <w:rPr>
                <w:szCs w:val="24"/>
              </w:rPr>
            </w:pPr>
          </w:p>
        </w:tc>
        <w:tc>
          <w:tcPr>
            <w:tcW w:w="2977" w:type="dxa"/>
            <w:vAlign w:val="bottom"/>
          </w:tcPr>
          <w:p w:rsidR="00AA6DC1" w:rsidRPr="00615936" w:rsidRDefault="00AA6DC1" w:rsidP="000C0DD4">
            <w:pPr>
              <w:jc w:val="right"/>
              <w:rPr>
                <w:szCs w:val="24"/>
              </w:rPr>
            </w:pPr>
          </w:p>
        </w:tc>
      </w:tr>
    </w:tbl>
    <w:tbl>
      <w:tblPr>
        <w:tblW w:w="8647" w:type="dxa"/>
        <w:tblLook w:val="04A0" w:firstRow="1" w:lastRow="0" w:firstColumn="1" w:lastColumn="0" w:noHBand="0" w:noVBand="1"/>
      </w:tblPr>
      <w:tblGrid>
        <w:gridCol w:w="8647"/>
      </w:tblGrid>
      <w:tr w:rsidR="002D6CB4" w:rsidTr="00AA6DC1">
        <w:trPr>
          <w:cantSplit/>
          <w:trHeight w:val="615"/>
        </w:trPr>
        <w:tc>
          <w:tcPr>
            <w:tcW w:w="8647" w:type="dxa"/>
          </w:tcPr>
          <w:p w:rsidR="002D6CB4" w:rsidRPr="00AA6DC1" w:rsidRDefault="00AA6DC1" w:rsidP="00AA6DC1">
            <w:pPr>
              <w:pStyle w:val="BodyTextIndent"/>
              <w:tabs>
                <w:tab w:val="left" w:pos="8397"/>
              </w:tabs>
              <w:ind w:left="0"/>
              <w:rPr>
                <w:sz w:val="24"/>
                <w:szCs w:val="24"/>
              </w:rPr>
            </w:pPr>
            <w:bookmarkStart w:id="8" w:name="edoc_info" w:colFirst="0" w:colLast="0"/>
            <w:r w:rsidRPr="00AA6DC1">
              <w:rPr>
                <w:sz w:val="24"/>
                <w:szCs w:val="24"/>
              </w:rPr>
              <w:t>*Dokuments ir parakstīts ar drošu elektronisko parakstu</w:t>
            </w:r>
          </w:p>
        </w:tc>
      </w:tr>
      <w:bookmarkEnd w:id="8"/>
    </w:tbl>
    <w:p w:rsidR="00826D51" w:rsidRDefault="00826D51" w:rsidP="007F3771">
      <w:pPr>
        <w:rPr>
          <w:sz w:val="20"/>
        </w:rPr>
      </w:pPr>
    </w:p>
    <w:p w:rsidR="00A668F7" w:rsidRPr="006B0D69" w:rsidRDefault="00A668F7" w:rsidP="00A668F7">
      <w:pPr>
        <w:rPr>
          <w:sz w:val="20"/>
        </w:rPr>
      </w:pPr>
      <w:r w:rsidRPr="006B0D69">
        <w:rPr>
          <w:sz w:val="20"/>
        </w:rPr>
        <w:t>Aperčoje  67095451</w:t>
      </w:r>
    </w:p>
    <w:p w:rsidR="00A668F7" w:rsidRDefault="0071145F" w:rsidP="00A668F7">
      <w:pPr>
        <w:rPr>
          <w:rStyle w:val="Hyperlink"/>
          <w:sz w:val="20"/>
        </w:rPr>
      </w:pPr>
      <w:hyperlink r:id="rId9" w:history="1">
        <w:r w:rsidR="00A668F7" w:rsidRPr="006B0D69">
          <w:rPr>
            <w:rStyle w:val="Hyperlink"/>
            <w:sz w:val="20"/>
          </w:rPr>
          <w:t>andzela.apercoje@fm.gov.lv</w:t>
        </w:r>
      </w:hyperlink>
    </w:p>
    <w:p w:rsidR="00A668F7" w:rsidRDefault="00A668F7" w:rsidP="00A668F7">
      <w:pPr>
        <w:rPr>
          <w:rStyle w:val="Hyperlink"/>
          <w:sz w:val="20"/>
        </w:rPr>
      </w:pPr>
    </w:p>
    <w:p w:rsidR="00A668F7" w:rsidRDefault="00A668F7" w:rsidP="00A668F7">
      <w:pPr>
        <w:rPr>
          <w:sz w:val="20"/>
        </w:rPr>
      </w:pPr>
      <w:r>
        <w:rPr>
          <w:rStyle w:val="Hyperlink"/>
          <w:color w:val="auto"/>
          <w:sz w:val="20"/>
          <w:u w:val="none"/>
        </w:rPr>
        <w:t xml:space="preserve">Kote </w:t>
      </w:r>
      <w:r>
        <w:rPr>
          <w:sz w:val="20"/>
        </w:rPr>
        <w:t>67095452</w:t>
      </w:r>
    </w:p>
    <w:p w:rsidR="00A668F7" w:rsidRDefault="0071145F" w:rsidP="00A668F7">
      <w:pPr>
        <w:rPr>
          <w:sz w:val="20"/>
        </w:rPr>
      </w:pPr>
      <w:hyperlink r:id="rId10" w:history="1">
        <w:r w:rsidR="00A668F7" w:rsidRPr="00152BDB">
          <w:rPr>
            <w:rStyle w:val="Hyperlink"/>
            <w:sz w:val="20"/>
          </w:rPr>
          <w:t>ilze.kote@fm.gov.lv</w:t>
        </w:r>
      </w:hyperlink>
      <w:r w:rsidR="00A668F7">
        <w:rPr>
          <w:sz w:val="20"/>
        </w:rPr>
        <w:t xml:space="preserve"> </w:t>
      </w:r>
    </w:p>
    <w:p w:rsidR="00A668F7" w:rsidRDefault="00A668F7" w:rsidP="00A668F7">
      <w:pPr>
        <w:rPr>
          <w:sz w:val="20"/>
        </w:rPr>
      </w:pPr>
    </w:p>
    <w:p w:rsidR="00A668F7" w:rsidRPr="0050330E" w:rsidRDefault="00A668F7" w:rsidP="00A668F7">
      <w:pPr>
        <w:rPr>
          <w:sz w:val="20"/>
        </w:rPr>
      </w:pPr>
      <w:r>
        <w:rPr>
          <w:sz w:val="20"/>
        </w:rPr>
        <w:t>Linde 67094</w:t>
      </w:r>
      <w:r w:rsidRPr="0050330E">
        <w:rPr>
          <w:sz w:val="20"/>
        </w:rPr>
        <w:t>308</w:t>
      </w:r>
    </w:p>
    <w:p w:rsidR="00A668F7" w:rsidRDefault="0071145F" w:rsidP="00A668F7">
      <w:pPr>
        <w:rPr>
          <w:sz w:val="20"/>
        </w:rPr>
      </w:pPr>
      <w:hyperlink r:id="rId11" w:history="1">
        <w:r w:rsidR="00A668F7" w:rsidRPr="00D4622D">
          <w:rPr>
            <w:rStyle w:val="Hyperlink"/>
            <w:sz w:val="20"/>
          </w:rPr>
          <w:t>martins.linde@kase.gov.lv</w:t>
        </w:r>
      </w:hyperlink>
      <w:r w:rsidR="00A668F7">
        <w:rPr>
          <w:sz w:val="20"/>
        </w:rPr>
        <w:t xml:space="preserve"> </w:t>
      </w:r>
    </w:p>
    <w:p w:rsidR="00A668F7" w:rsidRPr="0050330E" w:rsidRDefault="00A668F7" w:rsidP="00A668F7">
      <w:pPr>
        <w:rPr>
          <w:sz w:val="20"/>
        </w:rPr>
      </w:pPr>
    </w:p>
    <w:p w:rsidR="00A668F7" w:rsidRPr="001E55B2" w:rsidRDefault="00A668F7" w:rsidP="00A668F7">
      <w:pPr>
        <w:rPr>
          <w:sz w:val="20"/>
        </w:rPr>
      </w:pPr>
      <w:r w:rsidRPr="001E55B2">
        <w:rPr>
          <w:sz w:val="20"/>
        </w:rPr>
        <w:t>Mozga 67326693</w:t>
      </w:r>
    </w:p>
    <w:p w:rsidR="00A668F7" w:rsidRDefault="0071145F" w:rsidP="00A668F7">
      <w:pPr>
        <w:rPr>
          <w:sz w:val="20"/>
        </w:rPr>
      </w:pPr>
      <w:hyperlink r:id="rId12" w:history="1">
        <w:r w:rsidR="00A668F7" w:rsidRPr="00D4622D">
          <w:rPr>
            <w:rStyle w:val="Hyperlink"/>
            <w:sz w:val="20"/>
          </w:rPr>
          <w:t>evija.mozga@iub.gov.lv</w:t>
        </w:r>
      </w:hyperlink>
      <w:r w:rsidR="00A668F7">
        <w:rPr>
          <w:sz w:val="20"/>
        </w:rPr>
        <w:t xml:space="preserve"> </w:t>
      </w:r>
    </w:p>
    <w:p w:rsidR="00A668F7" w:rsidRDefault="00A668F7" w:rsidP="00A668F7">
      <w:pPr>
        <w:rPr>
          <w:sz w:val="20"/>
        </w:rPr>
      </w:pPr>
    </w:p>
    <w:p w:rsidR="00A668F7" w:rsidRPr="00FA48CB" w:rsidRDefault="00A668F7" w:rsidP="00A668F7">
      <w:pPr>
        <w:rPr>
          <w:sz w:val="20"/>
        </w:rPr>
      </w:pPr>
      <w:r w:rsidRPr="00FA48CB">
        <w:rPr>
          <w:sz w:val="20"/>
        </w:rPr>
        <w:t>Matvejeva 67120435</w:t>
      </w:r>
    </w:p>
    <w:p w:rsidR="00A668F7" w:rsidRPr="00BA6B61" w:rsidRDefault="0071145F" w:rsidP="00A668F7">
      <w:pPr>
        <w:rPr>
          <w:sz w:val="20"/>
        </w:rPr>
      </w:pPr>
      <w:hyperlink r:id="rId13" w:history="1">
        <w:r w:rsidR="00A668F7" w:rsidRPr="00D4622D">
          <w:rPr>
            <w:rStyle w:val="Hyperlink"/>
            <w:sz w:val="20"/>
          </w:rPr>
          <w:t>Dace.Matvejeva@vid.gov.lv</w:t>
        </w:r>
      </w:hyperlink>
      <w:r w:rsidR="00A668F7">
        <w:rPr>
          <w:sz w:val="20"/>
        </w:rPr>
        <w:t xml:space="preserve"> </w:t>
      </w:r>
    </w:p>
    <w:p w:rsidR="000C0DD4" w:rsidRPr="006D6710" w:rsidRDefault="000C0DD4" w:rsidP="007F3771">
      <w:pPr>
        <w:rPr>
          <w:sz w:val="20"/>
        </w:rPr>
      </w:pPr>
    </w:p>
    <w:sectPr w:rsidR="000C0DD4" w:rsidRPr="006D6710" w:rsidSect="002C22B9">
      <w:headerReference w:type="even" r:id="rId14"/>
      <w:headerReference w:type="default" r:id="rId15"/>
      <w:footerReference w:type="default" r:id="rId16"/>
      <w:headerReference w:type="first" r:id="rId17"/>
      <w:footerReference w:type="first" r:id="rId18"/>
      <w:pgSz w:w="11907" w:h="16840" w:code="9"/>
      <w:pgMar w:top="567" w:right="850" w:bottom="1134" w:left="1701" w:header="720" w:footer="720"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145F" w:rsidRDefault="0071145F">
      <w:r>
        <w:separator/>
      </w:r>
    </w:p>
  </w:endnote>
  <w:endnote w:type="continuationSeparator" w:id="0">
    <w:p w:rsidR="0071145F" w:rsidRDefault="007114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6722951"/>
      <w:docPartObj>
        <w:docPartGallery w:val="Page Numbers (Bottom of Page)"/>
        <w:docPartUnique/>
      </w:docPartObj>
    </w:sdtPr>
    <w:sdtEndPr/>
    <w:sdtContent>
      <w:p w:rsidR="0015384D" w:rsidRDefault="00DC1310">
        <w:pPr>
          <w:pStyle w:val="Footer"/>
          <w:jc w:val="center"/>
        </w:pPr>
        <w:r w:rsidRPr="00557B49">
          <w:rPr>
            <w:sz w:val="24"/>
            <w:szCs w:val="24"/>
          </w:rPr>
          <w:fldChar w:fldCharType="begin"/>
        </w:r>
        <w:r w:rsidR="009E200C" w:rsidRPr="00557B49">
          <w:rPr>
            <w:sz w:val="24"/>
            <w:szCs w:val="24"/>
          </w:rPr>
          <w:instrText xml:space="preserve"> PAGE   \* MERGEFORMAT </w:instrText>
        </w:r>
        <w:r w:rsidRPr="00557B49">
          <w:rPr>
            <w:sz w:val="24"/>
            <w:szCs w:val="24"/>
          </w:rPr>
          <w:fldChar w:fldCharType="separate"/>
        </w:r>
        <w:r w:rsidR="004D4BA9">
          <w:rPr>
            <w:noProof/>
            <w:sz w:val="24"/>
            <w:szCs w:val="24"/>
          </w:rPr>
          <w:t>3</w:t>
        </w:r>
        <w:r w:rsidRPr="00557B49">
          <w:rPr>
            <w:sz w:val="24"/>
            <w:szCs w:val="24"/>
          </w:rPr>
          <w:fldChar w:fldCharType="end"/>
        </w:r>
      </w:p>
    </w:sdtContent>
  </w:sdt>
  <w:p w:rsidR="0015384D" w:rsidRDefault="00A668F7">
    <w:pPr>
      <w:pStyle w:val="Footer"/>
    </w:pPr>
    <w:r>
      <w:t>FMAtz_VSS-356</w:t>
    </w:r>
    <w:r w:rsidR="00A805FF">
      <w:t>_19052020</w:t>
    </w:r>
  </w:p>
  <w:p w:rsidR="00A805FF" w:rsidRDefault="00A805F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384D" w:rsidRDefault="0015384D">
    <w:pPr>
      <w:pStyle w:val="Footer"/>
      <w:jc w:val="center"/>
    </w:pPr>
  </w:p>
  <w:p w:rsidR="00A805FF" w:rsidRDefault="00A805FF" w:rsidP="00A805FF">
    <w:pPr>
      <w:pStyle w:val="Footer"/>
    </w:pPr>
    <w:r>
      <w:t>FMAtz_VSS-356_19052020</w:t>
    </w:r>
  </w:p>
  <w:p w:rsidR="0015384D" w:rsidRDefault="0015384D" w:rsidP="00A805F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145F" w:rsidRDefault="0071145F">
      <w:r>
        <w:separator/>
      </w:r>
    </w:p>
  </w:footnote>
  <w:footnote w:type="continuationSeparator" w:id="0">
    <w:p w:rsidR="0071145F" w:rsidRDefault="0071145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3DBE" w:rsidRDefault="00DC1310">
    <w:pPr>
      <w:pStyle w:val="Header"/>
      <w:framePr w:wrap="around" w:vAnchor="text" w:hAnchor="margin" w:xAlign="center" w:y="1"/>
      <w:rPr>
        <w:rStyle w:val="PageNumber"/>
      </w:rPr>
    </w:pPr>
    <w:r>
      <w:rPr>
        <w:rStyle w:val="PageNumber"/>
      </w:rPr>
      <w:fldChar w:fldCharType="begin"/>
    </w:r>
    <w:r w:rsidR="00F33DBE">
      <w:rPr>
        <w:rStyle w:val="PageNumber"/>
      </w:rPr>
      <w:instrText xml:space="preserve">PAGE  </w:instrText>
    </w:r>
    <w:r>
      <w:rPr>
        <w:rStyle w:val="PageNumber"/>
      </w:rPr>
      <w:fldChar w:fldCharType="separate"/>
    </w:r>
    <w:r w:rsidR="0015384D">
      <w:rPr>
        <w:rStyle w:val="PageNumber"/>
        <w:noProof/>
      </w:rPr>
      <w:t>2</w:t>
    </w:r>
    <w:r>
      <w:rPr>
        <w:rStyle w:val="PageNumber"/>
      </w:rPr>
      <w:fldChar w:fldCharType="end"/>
    </w:r>
  </w:p>
  <w:p w:rsidR="00F33DBE" w:rsidRDefault="00F33DB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3DBE" w:rsidRDefault="00F33DBE" w:rsidP="008C508E">
    <w:pPr>
      <w:pStyle w:val="Header"/>
    </w:pPr>
    <w:r>
      <w:tab/>
    </w:r>
    <w: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22B9" w:rsidRDefault="002C22B9">
    <w:pPr>
      <w:pStyle w:val="Header"/>
    </w:pPr>
  </w:p>
  <w:p w:rsidR="002C22B9" w:rsidRDefault="002C22B9">
    <w:pPr>
      <w:pStyle w:val="Header"/>
    </w:pPr>
  </w:p>
  <w:p w:rsidR="002C22B9" w:rsidRDefault="002C22B9">
    <w:pPr>
      <w:pStyle w:val="Header"/>
    </w:pPr>
  </w:p>
  <w:p w:rsidR="002C22B9" w:rsidRDefault="0037045B" w:rsidP="002C22B9">
    <w:pPr>
      <w:pStyle w:val="Header"/>
      <w:tabs>
        <w:tab w:val="clear" w:pos="4153"/>
        <w:tab w:val="clear" w:pos="8306"/>
      </w:tabs>
    </w:pPr>
    <w:r>
      <w:rPr>
        <w:noProof/>
        <w:lang w:eastAsia="lv-LV"/>
      </w:rPr>
      <mc:AlternateContent>
        <mc:Choice Requires="wps">
          <w:drawing>
            <wp:anchor distT="0" distB="0" distL="114300" distR="114300" simplePos="0" relativeHeight="251660288" behindDoc="1" locked="0" layoutInCell="1" allowOverlap="1" wp14:anchorId="57FB416F" wp14:editId="5D0A2C7E">
              <wp:simplePos x="0" y="0"/>
              <wp:positionH relativeFrom="page">
                <wp:posOffset>1066800</wp:posOffset>
              </wp:positionH>
              <wp:positionV relativeFrom="page">
                <wp:posOffset>2030730</wp:posOffset>
              </wp:positionV>
              <wp:extent cx="5943600" cy="314325"/>
              <wp:effectExtent l="0" t="0" r="0" b="9525"/>
              <wp:wrapNone/>
              <wp:docPr id="11"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22B9" w:rsidRDefault="002C22B9" w:rsidP="002C22B9">
                          <w:pPr>
                            <w:spacing w:line="194" w:lineRule="exact"/>
                            <w:ind w:left="20" w:right="-45"/>
                            <w:jc w:val="center"/>
                            <w:rPr>
                              <w:sz w:val="17"/>
                              <w:szCs w:val="17"/>
                            </w:rPr>
                          </w:pPr>
                          <w:r w:rsidRPr="00A41446">
                            <w:rPr>
                              <w:color w:val="231F20"/>
                              <w:sz w:val="17"/>
                              <w:szCs w:val="17"/>
                            </w:rPr>
                            <w:t>Smilšu iela 1, Rīga, LV-1919, tālr. 67095</w:t>
                          </w:r>
                          <w:r>
                            <w:rPr>
                              <w:color w:val="231F20"/>
                              <w:sz w:val="17"/>
                              <w:szCs w:val="17"/>
                            </w:rPr>
                            <w:t>689</w:t>
                          </w:r>
                          <w:r w:rsidRPr="00A41446">
                            <w:rPr>
                              <w:color w:val="231F20"/>
                              <w:sz w:val="17"/>
                              <w:szCs w:val="17"/>
                            </w:rPr>
                            <w:t xml:space="preserve">, </w:t>
                          </w:r>
                          <w:r>
                            <w:rPr>
                              <w:color w:val="231F20"/>
                              <w:sz w:val="17"/>
                              <w:szCs w:val="17"/>
                            </w:rPr>
                            <w:t xml:space="preserve">67095578, </w:t>
                          </w:r>
                          <w:r w:rsidRPr="00A41446">
                            <w:rPr>
                              <w:color w:val="231F20"/>
                              <w:sz w:val="17"/>
                              <w:szCs w:val="17"/>
                            </w:rPr>
                            <w:t>fakss 67095503, e-pasts pasts@fm.gov.lv, www.fm.gov.lv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Text Box 43" o:spid="_x0000_s1026" type="#_x0000_t202" style="position:absolute;left:0;text-align:left;margin-left:84pt;margin-top:159.9pt;width:468pt;height:24.7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" filled="f" stroked="f">
              <v:textbox inset="0,0,0,0">
                <w:txbxContent>
                  <w:p w:rsidR="002C22B9" w:rsidRDefault="002C22B9" w:rsidP="002C22B9">
                    <w:pPr>
                      <w:spacing w:line="194" w:lineRule="exact"/>
                      <w:ind w:left="20" w:right="-45"/>
                      <w:jc w:val="center"/>
                      <w:rPr>
                        <w:sz w:val="17"/>
                        <w:szCs w:val="17"/>
                      </w:rPr>
                    </w:pPr>
                    <w:r w:rsidRPr="00A41446">
                      <w:rPr>
                        <w:color w:val="231F20"/>
                        <w:sz w:val="17"/>
                        <w:szCs w:val="17"/>
                      </w:rPr>
                      <w:t>Smilšu iela 1, Rīga, LV-1919, tālr. 67095</w:t>
                    </w:r>
                    <w:r>
                      <w:rPr>
                        <w:color w:val="231F20"/>
                        <w:sz w:val="17"/>
                        <w:szCs w:val="17"/>
                      </w:rPr>
                      <w:t>689</w:t>
                    </w:r>
                    <w:r w:rsidRPr="00A41446">
                      <w:rPr>
                        <w:color w:val="231F20"/>
                        <w:sz w:val="17"/>
                        <w:szCs w:val="17"/>
                      </w:rPr>
                      <w:t xml:space="preserve">, </w:t>
                    </w:r>
                    <w:r>
                      <w:rPr>
                        <w:color w:val="231F20"/>
                        <w:sz w:val="17"/>
                        <w:szCs w:val="17"/>
                      </w:rPr>
                      <w:t xml:space="preserve">67095578, </w:t>
                    </w:r>
                    <w:r w:rsidRPr="00A41446">
                      <w:rPr>
                        <w:color w:val="231F20"/>
                        <w:sz w:val="17"/>
                        <w:szCs w:val="17"/>
                      </w:rPr>
                      <w:t>fakss 67095503, e-pasts pasts@fm.gov.lv, www.fm.gov.lv</w:t>
                    </w:r>
                  </w:p>
                </w:txbxContent>
              </v:textbox>
              <w10:wrap anchorx="page" anchory="page"/>
            </v:shape>
          </w:pict>
        </mc:Fallback>
      </mc:AlternateContent>
    </w:r>
    <w:r w:rsidR="002C22B9" w:rsidRPr="002C22B9">
      <w:rPr>
        <w:noProof/>
        <w:lang w:eastAsia="lv-LV"/>
      </w:rPr>
      <w:drawing>
        <wp:anchor distT="0" distB="0" distL="114300" distR="114300" simplePos="0" relativeHeight="251661312" behindDoc="1" locked="0" layoutInCell="1" allowOverlap="1" wp14:anchorId="6A59D090" wp14:editId="12A308A5">
          <wp:simplePos x="0" y="0"/>
          <wp:positionH relativeFrom="margin">
            <wp:posOffset>75565</wp:posOffset>
          </wp:positionH>
          <wp:positionV relativeFrom="page">
            <wp:posOffset>711200</wp:posOffset>
          </wp:positionV>
          <wp:extent cx="5914390" cy="1065600"/>
          <wp:effectExtent l="0" t="0" r="0" b="0"/>
          <wp:wrapNone/>
          <wp:docPr id="8" name="Picture 8" descr="C:\Users\it-skrod\Desktop\veidlapas_jaunas\paraugi\vienkrasu_header_veidlapa_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t-skrod\Desktop\veidlapas_jaunas\paraugi\vienkrasu_header_veidlapa_22.png"/>
                  <pic:cNvPicPr>
                    <a:picLocks noChangeAspect="1" noChangeArrowheads="1"/>
                  </pic:cNvPicPr>
                </pic:nvPicPr>
                <pic:blipFill rotWithShape="1">
                  <a:blip r:embed="rId1" cstate="print">
                    <a:extLst>
                      <a:ext uri="{BEBA8EAE-BF5A-486C-A8C5-ECC9F3942E4B}">
                        <a14:imgProps xmlns:a14="http://schemas.microsoft.com/office/drawing/2010/main">
                          <a14:imgLayer r:embed="rId2">
                            <a14:imgEffect>
                              <a14:brightnessContrast contrast="100000"/>
                            </a14:imgEffect>
                          </a14:imgLayer>
                        </a14:imgProps>
                      </a:ext>
                      <a:ext uri="{28A0092B-C50C-407E-A947-70E740481C1C}">
                        <a14:useLocalDpi xmlns:a14="http://schemas.microsoft.com/office/drawing/2010/main" val="0"/>
                      </a:ext>
                    </a:extLst>
                  </a:blip>
                  <a:srcRect l="1249" t="1374" r="-1249" b="-1372"/>
                  <a:stretch/>
                </pic:blipFill>
                <pic:spPr bwMode="auto">
                  <a:xfrm>
                    <a:off x="0" y="0"/>
                    <a:ext cx="5914390" cy="1065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2C22B9" w:rsidRDefault="002C22B9">
    <w:pPr>
      <w:pStyle w:val="Header"/>
    </w:pPr>
  </w:p>
  <w:p w:rsidR="002C22B9" w:rsidRDefault="002C22B9">
    <w:pPr>
      <w:pStyle w:val="Header"/>
    </w:pPr>
  </w:p>
  <w:p w:rsidR="002C22B9" w:rsidRDefault="002C22B9">
    <w:pPr>
      <w:pStyle w:val="Header"/>
    </w:pPr>
  </w:p>
  <w:p w:rsidR="002C22B9" w:rsidRDefault="002C22B9">
    <w:pPr>
      <w:pStyle w:val="Header"/>
    </w:pPr>
  </w:p>
  <w:p w:rsidR="002C22B9" w:rsidRDefault="002C22B9">
    <w:pPr>
      <w:pStyle w:val="Header"/>
    </w:pPr>
  </w:p>
  <w:p w:rsidR="002C22B9" w:rsidRDefault="002C22B9">
    <w:pPr>
      <w:pStyle w:val="Header"/>
    </w:pPr>
  </w:p>
  <w:p w:rsidR="002C22B9" w:rsidRDefault="0037045B">
    <w:pPr>
      <w:pStyle w:val="Header"/>
    </w:pPr>
    <w:r>
      <w:rPr>
        <w:noProof/>
        <w:lang w:eastAsia="lv-LV"/>
      </w:rPr>
      <mc:AlternateContent>
        <mc:Choice Requires="wpg">
          <w:drawing>
            <wp:anchor distT="0" distB="0" distL="114300" distR="114300" simplePos="0" relativeHeight="251659264" behindDoc="1" locked="0" layoutInCell="1" allowOverlap="1" wp14:anchorId="138F5DBD" wp14:editId="7E0BCD2F">
              <wp:simplePos x="0" y="0"/>
              <wp:positionH relativeFrom="margin">
                <wp:posOffset>-34290</wp:posOffset>
              </wp:positionH>
              <wp:positionV relativeFrom="page">
                <wp:posOffset>1903095</wp:posOffset>
              </wp:positionV>
              <wp:extent cx="5937250" cy="45085"/>
              <wp:effectExtent l="0" t="0" r="25400" b="0"/>
              <wp:wrapNone/>
              <wp:docPr id="9"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7250" cy="45085"/>
                        <a:chOff x="2915" y="2998"/>
                        <a:chExt cx="6926" cy="2"/>
                      </a:xfrm>
                    </wpg:grpSpPr>
                    <wps:wsp>
                      <wps:cNvPr id="10"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25B1329D" id="Group 41" o:spid="_x0000_s1026" style="position:absolute;margin-left:-2.7pt;margin-top:149.85pt;width:467.5pt;height:3.55pt;z-index:-251657216;mso-position-horizontal-relative:margin;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">
              <v:shape id="Freeform 42" o:spid="_x0000_s1027" style="position:absolute;left:2915;top:2998;width:6926;height:2;visibility:visible;mso-wrap-style:square;v-text-anchor:top" coordsize="692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cnmMYA&#10;AADbAAAADwAAAGRycy9kb3ducmV2LnhtbESPQUvDQBCF70L/wzKCF7GbWio27bYUsdB6MwribcxO&#10;k2B2Nu6uadpf7xwK3mZ4b977ZrkeXKt6CrHxbGAyzkARl942XBl4f9vePYKKCdli65kMnCjCejW6&#10;WmJu/ZFfqS9SpSSEY44G6pS6XOtY1uQwjn1HLNrBB4dJ1lBpG/Ao4a7V91n2oB02LA01dvRUU/ld&#10;/DoDL9l0Pvv4muh5oW9/bNj3n8/n3pib62GzAJVoSP/my/XOCr7Qyy8ygF7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WcnmMYAAADbAAAADwAAAAAAAAAAAAAAAACYAgAAZHJz&#10;L2Rvd25yZXYueG1sUEsFBgAAAAAEAAQA9QAAAIsDAAAAAA==&#10;" path="m,l6926,e" filled="f" strokecolor="#231f20" strokeweight=".25pt">
                <v:path arrowok="t" o:connecttype="custom" o:connectlocs="0,0;6926,0" o:connectangles="0,0"/>
              </v:shape>
              <w10:wrap anchorx="margin" anchory="page"/>
            </v:group>
          </w:pict>
        </mc:Fallback>
      </mc:AlternateContent>
    </w:r>
  </w:p>
  <w:p w:rsidR="002C22B9" w:rsidRDefault="002C22B9">
    <w:pPr>
      <w:pStyle w:val="Header"/>
    </w:pPr>
  </w:p>
  <w:p w:rsidR="002C22B9" w:rsidRDefault="002C22B9">
    <w:pPr>
      <w:pStyle w:val="Header"/>
    </w:pPr>
  </w:p>
  <w:p w:rsidR="002C22B9" w:rsidRDefault="002C22B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E03125"/>
    <w:multiLevelType w:val="hybridMultilevel"/>
    <w:tmpl w:val="B2E6974C"/>
    <w:lvl w:ilvl="0" w:tplc="1CF657C6">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1">
    <w:nsid w:val="13862634"/>
    <w:multiLevelType w:val="hybridMultilevel"/>
    <w:tmpl w:val="0F907A5E"/>
    <w:lvl w:ilvl="0" w:tplc="04260019">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nsid w:val="1FF83422"/>
    <w:multiLevelType w:val="hybridMultilevel"/>
    <w:tmpl w:val="93CA3B8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nsid w:val="4AB95428"/>
    <w:multiLevelType w:val="hybridMultilevel"/>
    <w:tmpl w:val="09DA4822"/>
    <w:lvl w:ilvl="0" w:tplc="C47AFC30">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nsid w:val="4D020109"/>
    <w:multiLevelType w:val="hybridMultilevel"/>
    <w:tmpl w:val="7D9E72A0"/>
    <w:lvl w:ilvl="0" w:tplc="C47AFC30">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nsid w:val="561B0D4A"/>
    <w:multiLevelType w:val="hybridMultilevel"/>
    <w:tmpl w:val="A9DA888E"/>
    <w:lvl w:ilvl="0" w:tplc="E99EEE1E">
      <w:start w:val="1"/>
      <w:numFmt w:val="lowerLetter"/>
      <w:lvlText w:val="%1."/>
      <w:lvlJc w:val="left"/>
      <w:pPr>
        <w:ind w:left="1004" w:hanging="360"/>
      </w:pPr>
      <w:rPr>
        <w:rFonts w:hint="default"/>
      </w:r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6">
    <w:nsid w:val="7FC759EE"/>
    <w:multiLevelType w:val="hybridMultilevel"/>
    <w:tmpl w:val="AC32978C"/>
    <w:lvl w:ilvl="0" w:tplc="B9B27024">
      <w:start w:val="1"/>
      <w:numFmt w:val="lowerLetter"/>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num w:numId="1">
    <w:abstractNumId w:val="2"/>
  </w:num>
  <w:num w:numId="2">
    <w:abstractNumId w:val="3"/>
  </w:num>
  <w:num w:numId="3">
    <w:abstractNumId w:val="4"/>
  </w:num>
  <w:num w:numId="4">
    <w:abstractNumId w:val="0"/>
  </w:num>
  <w:num w:numId="5">
    <w:abstractNumId w:val="1"/>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0"/>
  <w:displayVerticalDrawingGridEvery w:val="0"/>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0E51"/>
    <w:rsid w:val="0002005E"/>
    <w:rsid w:val="00025906"/>
    <w:rsid w:val="00051BDB"/>
    <w:rsid w:val="00054277"/>
    <w:rsid w:val="00062D32"/>
    <w:rsid w:val="00063804"/>
    <w:rsid w:val="000704C8"/>
    <w:rsid w:val="00072A98"/>
    <w:rsid w:val="0008360A"/>
    <w:rsid w:val="000859B0"/>
    <w:rsid w:val="00086189"/>
    <w:rsid w:val="000A0A49"/>
    <w:rsid w:val="000A2273"/>
    <w:rsid w:val="000A4A49"/>
    <w:rsid w:val="000B5E98"/>
    <w:rsid w:val="000B75CE"/>
    <w:rsid w:val="000C0DD4"/>
    <w:rsid w:val="000C1481"/>
    <w:rsid w:val="000E05A4"/>
    <w:rsid w:val="000E7902"/>
    <w:rsid w:val="00101EF2"/>
    <w:rsid w:val="00102247"/>
    <w:rsid w:val="001042A3"/>
    <w:rsid w:val="00114955"/>
    <w:rsid w:val="00130802"/>
    <w:rsid w:val="001421E1"/>
    <w:rsid w:val="001428D4"/>
    <w:rsid w:val="001459C6"/>
    <w:rsid w:val="00146475"/>
    <w:rsid w:val="00146FE3"/>
    <w:rsid w:val="0015384D"/>
    <w:rsid w:val="00156874"/>
    <w:rsid w:val="00160F55"/>
    <w:rsid w:val="00163417"/>
    <w:rsid w:val="0017402C"/>
    <w:rsid w:val="00176F63"/>
    <w:rsid w:val="00184AB5"/>
    <w:rsid w:val="001943EE"/>
    <w:rsid w:val="001D78A7"/>
    <w:rsid w:val="001F53D9"/>
    <w:rsid w:val="00203705"/>
    <w:rsid w:val="0021300E"/>
    <w:rsid w:val="00220CEE"/>
    <w:rsid w:val="00224396"/>
    <w:rsid w:val="00227D91"/>
    <w:rsid w:val="0023013F"/>
    <w:rsid w:val="00235349"/>
    <w:rsid w:val="00244390"/>
    <w:rsid w:val="00260557"/>
    <w:rsid w:val="00261352"/>
    <w:rsid w:val="002644F0"/>
    <w:rsid w:val="00266CF2"/>
    <w:rsid w:val="00267E3D"/>
    <w:rsid w:val="00292E11"/>
    <w:rsid w:val="0029448D"/>
    <w:rsid w:val="002A20A3"/>
    <w:rsid w:val="002B2B9A"/>
    <w:rsid w:val="002C22B9"/>
    <w:rsid w:val="002D0DAE"/>
    <w:rsid w:val="002D2EFD"/>
    <w:rsid w:val="002D6CB4"/>
    <w:rsid w:val="002E06CD"/>
    <w:rsid w:val="002E288C"/>
    <w:rsid w:val="002F5D59"/>
    <w:rsid w:val="003026CE"/>
    <w:rsid w:val="00302D28"/>
    <w:rsid w:val="00304112"/>
    <w:rsid w:val="003043C9"/>
    <w:rsid w:val="00314B6D"/>
    <w:rsid w:val="0031519D"/>
    <w:rsid w:val="00325CE2"/>
    <w:rsid w:val="00330C2A"/>
    <w:rsid w:val="00332AF9"/>
    <w:rsid w:val="00341839"/>
    <w:rsid w:val="00352A0A"/>
    <w:rsid w:val="0037045B"/>
    <w:rsid w:val="00374C0D"/>
    <w:rsid w:val="00380855"/>
    <w:rsid w:val="00383D87"/>
    <w:rsid w:val="00386F28"/>
    <w:rsid w:val="00392EBE"/>
    <w:rsid w:val="00393EB9"/>
    <w:rsid w:val="00396BF4"/>
    <w:rsid w:val="003A324A"/>
    <w:rsid w:val="003A6F9E"/>
    <w:rsid w:val="003B329B"/>
    <w:rsid w:val="003B4764"/>
    <w:rsid w:val="003D09AE"/>
    <w:rsid w:val="003D179D"/>
    <w:rsid w:val="003F2252"/>
    <w:rsid w:val="003F2673"/>
    <w:rsid w:val="003F4635"/>
    <w:rsid w:val="003F79A5"/>
    <w:rsid w:val="004059A7"/>
    <w:rsid w:val="004218E7"/>
    <w:rsid w:val="004241B4"/>
    <w:rsid w:val="00434A02"/>
    <w:rsid w:val="0043643E"/>
    <w:rsid w:val="004478B9"/>
    <w:rsid w:val="00474D18"/>
    <w:rsid w:val="00483407"/>
    <w:rsid w:val="004D4BA9"/>
    <w:rsid w:val="004E2880"/>
    <w:rsid w:val="004E45F2"/>
    <w:rsid w:val="004E4C3B"/>
    <w:rsid w:val="004F221F"/>
    <w:rsid w:val="004F32A1"/>
    <w:rsid w:val="004F671B"/>
    <w:rsid w:val="004F7DFD"/>
    <w:rsid w:val="005053F3"/>
    <w:rsid w:val="00513B65"/>
    <w:rsid w:val="00526E86"/>
    <w:rsid w:val="0053353D"/>
    <w:rsid w:val="00546EEC"/>
    <w:rsid w:val="00546FDE"/>
    <w:rsid w:val="00550841"/>
    <w:rsid w:val="00550BA5"/>
    <w:rsid w:val="00557B49"/>
    <w:rsid w:val="0056044A"/>
    <w:rsid w:val="00566B07"/>
    <w:rsid w:val="00583887"/>
    <w:rsid w:val="00583F38"/>
    <w:rsid w:val="005846CE"/>
    <w:rsid w:val="00584ED6"/>
    <w:rsid w:val="005910E7"/>
    <w:rsid w:val="005A0BBB"/>
    <w:rsid w:val="005D7171"/>
    <w:rsid w:val="005E3D1E"/>
    <w:rsid w:val="005F3139"/>
    <w:rsid w:val="00613984"/>
    <w:rsid w:val="00615936"/>
    <w:rsid w:val="006205B8"/>
    <w:rsid w:val="00622CFD"/>
    <w:rsid w:val="006240D2"/>
    <w:rsid w:val="00636996"/>
    <w:rsid w:val="00642EE6"/>
    <w:rsid w:val="00643F3C"/>
    <w:rsid w:val="006610B8"/>
    <w:rsid w:val="00667635"/>
    <w:rsid w:val="00683E8B"/>
    <w:rsid w:val="00697AB8"/>
    <w:rsid w:val="006A05F7"/>
    <w:rsid w:val="006A3594"/>
    <w:rsid w:val="006A707B"/>
    <w:rsid w:val="006B33CB"/>
    <w:rsid w:val="006B42A2"/>
    <w:rsid w:val="006D24EC"/>
    <w:rsid w:val="006D6710"/>
    <w:rsid w:val="006E45DD"/>
    <w:rsid w:val="006E689E"/>
    <w:rsid w:val="006E6DBE"/>
    <w:rsid w:val="00701105"/>
    <w:rsid w:val="0070258A"/>
    <w:rsid w:val="00706C69"/>
    <w:rsid w:val="0070718E"/>
    <w:rsid w:val="0071145F"/>
    <w:rsid w:val="0071276C"/>
    <w:rsid w:val="00730E2D"/>
    <w:rsid w:val="00733696"/>
    <w:rsid w:val="00733C31"/>
    <w:rsid w:val="007523B6"/>
    <w:rsid w:val="00765592"/>
    <w:rsid w:val="00786DAF"/>
    <w:rsid w:val="00792DE6"/>
    <w:rsid w:val="007A5BA9"/>
    <w:rsid w:val="007A73EC"/>
    <w:rsid w:val="007B32A0"/>
    <w:rsid w:val="007C5B7E"/>
    <w:rsid w:val="007E021E"/>
    <w:rsid w:val="007E7EA0"/>
    <w:rsid w:val="007F3771"/>
    <w:rsid w:val="007F6888"/>
    <w:rsid w:val="00812E64"/>
    <w:rsid w:val="008237C6"/>
    <w:rsid w:val="00826D51"/>
    <w:rsid w:val="008360BD"/>
    <w:rsid w:val="00837277"/>
    <w:rsid w:val="0086567E"/>
    <w:rsid w:val="00866595"/>
    <w:rsid w:val="00875EF1"/>
    <w:rsid w:val="00884446"/>
    <w:rsid w:val="00886C8A"/>
    <w:rsid w:val="008A5EC1"/>
    <w:rsid w:val="008C508E"/>
    <w:rsid w:val="008C65E9"/>
    <w:rsid w:val="008D22AE"/>
    <w:rsid w:val="008E4EA4"/>
    <w:rsid w:val="008E4FE5"/>
    <w:rsid w:val="008F1369"/>
    <w:rsid w:val="008F15DF"/>
    <w:rsid w:val="008F2376"/>
    <w:rsid w:val="00903B9C"/>
    <w:rsid w:val="00911470"/>
    <w:rsid w:val="00920076"/>
    <w:rsid w:val="009212D8"/>
    <w:rsid w:val="009328EF"/>
    <w:rsid w:val="00963ACC"/>
    <w:rsid w:val="00973529"/>
    <w:rsid w:val="009819D5"/>
    <w:rsid w:val="0098433C"/>
    <w:rsid w:val="00996DC8"/>
    <w:rsid w:val="009B2296"/>
    <w:rsid w:val="009B7929"/>
    <w:rsid w:val="009C643F"/>
    <w:rsid w:val="009E200C"/>
    <w:rsid w:val="009F3293"/>
    <w:rsid w:val="009F77B9"/>
    <w:rsid w:val="00A03231"/>
    <w:rsid w:val="00A17946"/>
    <w:rsid w:val="00A21D44"/>
    <w:rsid w:val="00A30AED"/>
    <w:rsid w:val="00A318B0"/>
    <w:rsid w:val="00A4004D"/>
    <w:rsid w:val="00A54546"/>
    <w:rsid w:val="00A56AA6"/>
    <w:rsid w:val="00A668F7"/>
    <w:rsid w:val="00A805FF"/>
    <w:rsid w:val="00A87DFA"/>
    <w:rsid w:val="00A94030"/>
    <w:rsid w:val="00AA21A4"/>
    <w:rsid w:val="00AA6DC1"/>
    <w:rsid w:val="00AA74E7"/>
    <w:rsid w:val="00AB2288"/>
    <w:rsid w:val="00AB278E"/>
    <w:rsid w:val="00AC60C1"/>
    <w:rsid w:val="00AD576B"/>
    <w:rsid w:val="00AE2200"/>
    <w:rsid w:val="00AF21C7"/>
    <w:rsid w:val="00B26E48"/>
    <w:rsid w:val="00B30E51"/>
    <w:rsid w:val="00B45C16"/>
    <w:rsid w:val="00B9570C"/>
    <w:rsid w:val="00BB4400"/>
    <w:rsid w:val="00BD24E4"/>
    <w:rsid w:val="00BE3E7A"/>
    <w:rsid w:val="00BE5011"/>
    <w:rsid w:val="00BE78C7"/>
    <w:rsid w:val="00BF11EB"/>
    <w:rsid w:val="00BF233C"/>
    <w:rsid w:val="00C038B7"/>
    <w:rsid w:val="00C041F7"/>
    <w:rsid w:val="00C04DED"/>
    <w:rsid w:val="00C21975"/>
    <w:rsid w:val="00C345B8"/>
    <w:rsid w:val="00C375DF"/>
    <w:rsid w:val="00C44804"/>
    <w:rsid w:val="00C45100"/>
    <w:rsid w:val="00C50C30"/>
    <w:rsid w:val="00C53A90"/>
    <w:rsid w:val="00C54CFF"/>
    <w:rsid w:val="00C56C1D"/>
    <w:rsid w:val="00C6145F"/>
    <w:rsid w:val="00C640B7"/>
    <w:rsid w:val="00C81055"/>
    <w:rsid w:val="00C87CD4"/>
    <w:rsid w:val="00CD3BB8"/>
    <w:rsid w:val="00CE0655"/>
    <w:rsid w:val="00CF7CC2"/>
    <w:rsid w:val="00D0332A"/>
    <w:rsid w:val="00D06A60"/>
    <w:rsid w:val="00D1142D"/>
    <w:rsid w:val="00D149A6"/>
    <w:rsid w:val="00D3049B"/>
    <w:rsid w:val="00D4070C"/>
    <w:rsid w:val="00D462B6"/>
    <w:rsid w:val="00D51CC7"/>
    <w:rsid w:val="00D57801"/>
    <w:rsid w:val="00D65123"/>
    <w:rsid w:val="00D70A7C"/>
    <w:rsid w:val="00D73652"/>
    <w:rsid w:val="00D873B0"/>
    <w:rsid w:val="00DA3EAF"/>
    <w:rsid w:val="00DA7256"/>
    <w:rsid w:val="00DA7D9E"/>
    <w:rsid w:val="00DB1E3A"/>
    <w:rsid w:val="00DB5AB6"/>
    <w:rsid w:val="00DC1310"/>
    <w:rsid w:val="00DC1600"/>
    <w:rsid w:val="00DC461E"/>
    <w:rsid w:val="00DD4524"/>
    <w:rsid w:val="00DD56CC"/>
    <w:rsid w:val="00DD5E25"/>
    <w:rsid w:val="00DE7EC9"/>
    <w:rsid w:val="00DF1EC1"/>
    <w:rsid w:val="00DF75CE"/>
    <w:rsid w:val="00E04F00"/>
    <w:rsid w:val="00E0527A"/>
    <w:rsid w:val="00E13483"/>
    <w:rsid w:val="00E15F9B"/>
    <w:rsid w:val="00E25982"/>
    <w:rsid w:val="00E3743F"/>
    <w:rsid w:val="00E44ADB"/>
    <w:rsid w:val="00E50239"/>
    <w:rsid w:val="00E71316"/>
    <w:rsid w:val="00E95294"/>
    <w:rsid w:val="00EA7310"/>
    <w:rsid w:val="00EB1825"/>
    <w:rsid w:val="00EB2C30"/>
    <w:rsid w:val="00EE1908"/>
    <w:rsid w:val="00EF2339"/>
    <w:rsid w:val="00F06A13"/>
    <w:rsid w:val="00F14918"/>
    <w:rsid w:val="00F220D5"/>
    <w:rsid w:val="00F33DBE"/>
    <w:rsid w:val="00F33E54"/>
    <w:rsid w:val="00F35615"/>
    <w:rsid w:val="00F365B1"/>
    <w:rsid w:val="00F37820"/>
    <w:rsid w:val="00F462A6"/>
    <w:rsid w:val="00F62E54"/>
    <w:rsid w:val="00F84ADE"/>
    <w:rsid w:val="00F949B7"/>
    <w:rsid w:val="00F952BC"/>
    <w:rsid w:val="00FB1DB2"/>
    <w:rsid w:val="00FB225E"/>
    <w:rsid w:val="00FE2AC9"/>
    <w:rsid w:val="00FE7A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lv-LV" w:eastAsia="lv-LV"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semiHidden="0" w:uiPriority="0" w:unhideWhenUsed="0" w:qFormat="1"/>
    <w:lsdException w:name="footnote reference" w:uiPriority="0"/>
    <w:lsdException w:name="page number" w:uiPriority="0"/>
    <w:lsdException w:name="Title" w:semiHidden="0" w:uiPriority="10" w:unhideWhenUsed="0" w:qFormat="1"/>
    <w:lsdException w:name="Default Paragraph Fo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Document Map"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4EA4"/>
    <w:pPr>
      <w:jc w:val="both"/>
    </w:pPr>
    <w:rPr>
      <w:sz w:val="24"/>
      <w:lang w:eastAsia="en-US"/>
    </w:rPr>
  </w:style>
  <w:style w:type="paragraph" w:styleId="Heading1">
    <w:name w:val="heading 1"/>
    <w:basedOn w:val="Normal"/>
    <w:next w:val="Normal"/>
    <w:qFormat/>
    <w:rsid w:val="00903B9C"/>
    <w:pPr>
      <w:keepNext/>
      <w:spacing w:before="240" w:after="60"/>
      <w:outlineLvl w:val="0"/>
    </w:pPr>
    <w:rPr>
      <w:b/>
      <w:kern w:val="28"/>
      <w:sz w:val="28"/>
    </w:rPr>
  </w:style>
  <w:style w:type="paragraph" w:styleId="Heading2">
    <w:name w:val="heading 2"/>
    <w:basedOn w:val="Normal"/>
    <w:next w:val="Normal"/>
    <w:qFormat/>
    <w:rsid w:val="00903B9C"/>
    <w:pPr>
      <w:keepNext/>
      <w:spacing w:before="240" w:after="60"/>
      <w:outlineLvl w:val="1"/>
    </w:pPr>
    <w:rPr>
      <w:b/>
      <w:sz w:val="26"/>
    </w:rPr>
  </w:style>
  <w:style w:type="paragraph" w:styleId="Heading3">
    <w:name w:val="heading 3"/>
    <w:basedOn w:val="Normal"/>
    <w:next w:val="Normal"/>
    <w:qFormat/>
    <w:rsid w:val="00903B9C"/>
    <w:pPr>
      <w:keepNext/>
      <w:spacing w:before="240" w:after="60"/>
      <w:outlineLvl w:val="2"/>
    </w:pPr>
    <w:rPr>
      <w:b/>
    </w:rPr>
  </w:style>
  <w:style w:type="paragraph" w:styleId="Heading4">
    <w:name w:val="heading 4"/>
    <w:basedOn w:val="Normal"/>
    <w:next w:val="Normal"/>
    <w:qFormat/>
    <w:rsid w:val="00903B9C"/>
    <w:pPr>
      <w:keepNext/>
      <w:jc w:val="center"/>
      <w:outlineLvl w:val="3"/>
    </w:pPr>
    <w:rPr>
      <w:spacing w:val="2"/>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03B9C"/>
    <w:pPr>
      <w:tabs>
        <w:tab w:val="center" w:pos="4153"/>
        <w:tab w:val="right" w:pos="8306"/>
      </w:tabs>
    </w:pPr>
    <w:rPr>
      <w:sz w:val="18"/>
    </w:rPr>
  </w:style>
  <w:style w:type="paragraph" w:styleId="Footer">
    <w:name w:val="footer"/>
    <w:basedOn w:val="Normal"/>
    <w:link w:val="FooterChar"/>
    <w:uiPriority w:val="99"/>
    <w:rsid w:val="00903B9C"/>
    <w:pPr>
      <w:tabs>
        <w:tab w:val="center" w:pos="4153"/>
        <w:tab w:val="right" w:pos="8306"/>
      </w:tabs>
    </w:pPr>
    <w:rPr>
      <w:sz w:val="18"/>
    </w:rPr>
  </w:style>
  <w:style w:type="character" w:styleId="PageNumber">
    <w:name w:val="page number"/>
    <w:rsid w:val="00903B9C"/>
    <w:rPr>
      <w:rFonts w:ascii="Times New Roman" w:hAnsi="Times New Roman"/>
    </w:rPr>
  </w:style>
  <w:style w:type="paragraph" w:styleId="Caption">
    <w:name w:val="caption"/>
    <w:basedOn w:val="Normal"/>
    <w:next w:val="Normal"/>
    <w:qFormat/>
    <w:rsid w:val="00903B9C"/>
    <w:pPr>
      <w:framePr w:w="9083" w:hSpace="181" w:wrap="around" w:vAnchor="page" w:hAnchor="page" w:x="1702" w:y="579" w:anchorLock="1"/>
      <w:pBdr>
        <w:bottom w:val="single" w:sz="6" w:space="4" w:color="auto"/>
      </w:pBdr>
      <w:jc w:val="center"/>
    </w:pPr>
    <w:rPr>
      <w:spacing w:val="2"/>
      <w:sz w:val="28"/>
    </w:rPr>
  </w:style>
  <w:style w:type="paragraph" w:styleId="FootnoteText">
    <w:name w:val="footnote text"/>
    <w:basedOn w:val="Normal"/>
    <w:link w:val="FootnoteTextChar"/>
    <w:semiHidden/>
    <w:rsid w:val="00903B9C"/>
    <w:rPr>
      <w:sz w:val="20"/>
    </w:rPr>
  </w:style>
  <w:style w:type="character" w:styleId="FootnoteReference">
    <w:name w:val="footnote reference"/>
    <w:semiHidden/>
    <w:rsid w:val="00903B9C"/>
    <w:rPr>
      <w:rFonts w:ascii="Times New Roman" w:hAnsi="Times New Roman"/>
      <w:vertAlign w:val="superscript"/>
    </w:rPr>
  </w:style>
  <w:style w:type="paragraph" w:styleId="DocumentMap">
    <w:name w:val="Document Map"/>
    <w:basedOn w:val="Normal"/>
    <w:semiHidden/>
    <w:rsid w:val="00903B9C"/>
    <w:pPr>
      <w:shd w:val="clear" w:color="auto" w:fill="000080"/>
    </w:pPr>
    <w:rPr>
      <w:rFonts w:ascii="Tahoma" w:hAnsi="Tahoma" w:cs="Tahoma"/>
    </w:rPr>
  </w:style>
  <w:style w:type="character" w:styleId="Hyperlink">
    <w:name w:val="Hyperlink"/>
    <w:rsid w:val="00101EF2"/>
    <w:rPr>
      <w:color w:val="0000FF"/>
      <w:u w:val="single"/>
    </w:rPr>
  </w:style>
  <w:style w:type="paragraph" w:styleId="BalloonText">
    <w:name w:val="Balloon Text"/>
    <w:basedOn w:val="Normal"/>
    <w:semiHidden/>
    <w:rsid w:val="00884446"/>
    <w:rPr>
      <w:rFonts w:ascii="Tahoma" w:hAnsi="Tahoma" w:cs="Tahoma"/>
      <w:sz w:val="16"/>
      <w:szCs w:val="16"/>
    </w:rPr>
  </w:style>
  <w:style w:type="character" w:customStyle="1" w:styleId="FootnoteTextChar">
    <w:name w:val="Footnote Text Char"/>
    <w:link w:val="FootnoteText"/>
    <w:semiHidden/>
    <w:rsid w:val="008F15DF"/>
    <w:rPr>
      <w:lang w:eastAsia="en-US"/>
    </w:rPr>
  </w:style>
  <w:style w:type="character" w:customStyle="1" w:styleId="FooterChar">
    <w:name w:val="Footer Char"/>
    <w:basedOn w:val="DefaultParagraphFont"/>
    <w:link w:val="Footer"/>
    <w:uiPriority w:val="99"/>
    <w:rsid w:val="006D6710"/>
    <w:rPr>
      <w:sz w:val="18"/>
      <w:lang w:eastAsia="en-US"/>
    </w:rPr>
  </w:style>
  <w:style w:type="paragraph" w:styleId="BodyTextIndent">
    <w:name w:val="Body Text Indent"/>
    <w:basedOn w:val="Normal"/>
    <w:link w:val="BodyTextIndentChar"/>
    <w:uiPriority w:val="99"/>
    <w:unhideWhenUsed/>
    <w:rsid w:val="002D6CB4"/>
    <w:pPr>
      <w:spacing w:before="120" w:after="120"/>
      <w:ind w:left="283"/>
      <w:jc w:val="left"/>
    </w:pPr>
    <w:rPr>
      <w:sz w:val="20"/>
    </w:rPr>
  </w:style>
  <w:style w:type="character" w:customStyle="1" w:styleId="BodyTextIndentChar">
    <w:name w:val="Body Text Indent Char"/>
    <w:basedOn w:val="DefaultParagraphFont"/>
    <w:link w:val="BodyTextIndent"/>
    <w:uiPriority w:val="99"/>
    <w:rsid w:val="002D6CB4"/>
    <w:rPr>
      <w:lang w:eastAsia="en-US"/>
    </w:rPr>
  </w:style>
  <w:style w:type="character" w:styleId="PlaceholderText">
    <w:name w:val="Placeholder Text"/>
    <w:basedOn w:val="DefaultParagraphFont"/>
    <w:uiPriority w:val="99"/>
    <w:semiHidden/>
    <w:rsid w:val="00826D51"/>
    <w:rPr>
      <w:color w:val="808080"/>
    </w:rPr>
  </w:style>
  <w:style w:type="table" w:styleId="TableGrid">
    <w:name w:val="Table Grid"/>
    <w:basedOn w:val="TableNormal"/>
    <w:uiPriority w:val="59"/>
    <w:rsid w:val="004E4C3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A668F7"/>
    <w:pPr>
      <w:spacing w:after="160" w:line="252" w:lineRule="auto"/>
      <w:ind w:left="720"/>
      <w:contextualSpacing/>
      <w:jc w:val="left"/>
    </w:pPr>
    <w:rPr>
      <w:rFonts w:eastAsiaTheme="minorHAnsi"/>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lv-LV" w:eastAsia="lv-LV"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semiHidden="0" w:uiPriority="0" w:unhideWhenUsed="0" w:qFormat="1"/>
    <w:lsdException w:name="footnote reference" w:uiPriority="0"/>
    <w:lsdException w:name="page number" w:uiPriority="0"/>
    <w:lsdException w:name="Title" w:semiHidden="0" w:uiPriority="10" w:unhideWhenUsed="0" w:qFormat="1"/>
    <w:lsdException w:name="Default Paragraph Fo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Document Map"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4EA4"/>
    <w:pPr>
      <w:jc w:val="both"/>
    </w:pPr>
    <w:rPr>
      <w:sz w:val="24"/>
      <w:lang w:eastAsia="en-US"/>
    </w:rPr>
  </w:style>
  <w:style w:type="paragraph" w:styleId="Heading1">
    <w:name w:val="heading 1"/>
    <w:basedOn w:val="Normal"/>
    <w:next w:val="Normal"/>
    <w:qFormat/>
    <w:rsid w:val="00903B9C"/>
    <w:pPr>
      <w:keepNext/>
      <w:spacing w:before="240" w:after="60"/>
      <w:outlineLvl w:val="0"/>
    </w:pPr>
    <w:rPr>
      <w:b/>
      <w:kern w:val="28"/>
      <w:sz w:val="28"/>
    </w:rPr>
  </w:style>
  <w:style w:type="paragraph" w:styleId="Heading2">
    <w:name w:val="heading 2"/>
    <w:basedOn w:val="Normal"/>
    <w:next w:val="Normal"/>
    <w:qFormat/>
    <w:rsid w:val="00903B9C"/>
    <w:pPr>
      <w:keepNext/>
      <w:spacing w:before="240" w:after="60"/>
      <w:outlineLvl w:val="1"/>
    </w:pPr>
    <w:rPr>
      <w:b/>
      <w:sz w:val="26"/>
    </w:rPr>
  </w:style>
  <w:style w:type="paragraph" w:styleId="Heading3">
    <w:name w:val="heading 3"/>
    <w:basedOn w:val="Normal"/>
    <w:next w:val="Normal"/>
    <w:qFormat/>
    <w:rsid w:val="00903B9C"/>
    <w:pPr>
      <w:keepNext/>
      <w:spacing w:before="240" w:after="60"/>
      <w:outlineLvl w:val="2"/>
    </w:pPr>
    <w:rPr>
      <w:b/>
    </w:rPr>
  </w:style>
  <w:style w:type="paragraph" w:styleId="Heading4">
    <w:name w:val="heading 4"/>
    <w:basedOn w:val="Normal"/>
    <w:next w:val="Normal"/>
    <w:qFormat/>
    <w:rsid w:val="00903B9C"/>
    <w:pPr>
      <w:keepNext/>
      <w:jc w:val="center"/>
      <w:outlineLvl w:val="3"/>
    </w:pPr>
    <w:rPr>
      <w:spacing w:val="2"/>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03B9C"/>
    <w:pPr>
      <w:tabs>
        <w:tab w:val="center" w:pos="4153"/>
        <w:tab w:val="right" w:pos="8306"/>
      </w:tabs>
    </w:pPr>
    <w:rPr>
      <w:sz w:val="18"/>
    </w:rPr>
  </w:style>
  <w:style w:type="paragraph" w:styleId="Footer">
    <w:name w:val="footer"/>
    <w:basedOn w:val="Normal"/>
    <w:link w:val="FooterChar"/>
    <w:uiPriority w:val="99"/>
    <w:rsid w:val="00903B9C"/>
    <w:pPr>
      <w:tabs>
        <w:tab w:val="center" w:pos="4153"/>
        <w:tab w:val="right" w:pos="8306"/>
      </w:tabs>
    </w:pPr>
    <w:rPr>
      <w:sz w:val="18"/>
    </w:rPr>
  </w:style>
  <w:style w:type="character" w:styleId="PageNumber">
    <w:name w:val="page number"/>
    <w:rsid w:val="00903B9C"/>
    <w:rPr>
      <w:rFonts w:ascii="Times New Roman" w:hAnsi="Times New Roman"/>
    </w:rPr>
  </w:style>
  <w:style w:type="paragraph" w:styleId="Caption">
    <w:name w:val="caption"/>
    <w:basedOn w:val="Normal"/>
    <w:next w:val="Normal"/>
    <w:qFormat/>
    <w:rsid w:val="00903B9C"/>
    <w:pPr>
      <w:framePr w:w="9083" w:hSpace="181" w:wrap="around" w:vAnchor="page" w:hAnchor="page" w:x="1702" w:y="579" w:anchorLock="1"/>
      <w:pBdr>
        <w:bottom w:val="single" w:sz="6" w:space="4" w:color="auto"/>
      </w:pBdr>
      <w:jc w:val="center"/>
    </w:pPr>
    <w:rPr>
      <w:spacing w:val="2"/>
      <w:sz w:val="28"/>
    </w:rPr>
  </w:style>
  <w:style w:type="paragraph" w:styleId="FootnoteText">
    <w:name w:val="footnote text"/>
    <w:basedOn w:val="Normal"/>
    <w:link w:val="FootnoteTextChar"/>
    <w:semiHidden/>
    <w:rsid w:val="00903B9C"/>
    <w:rPr>
      <w:sz w:val="20"/>
    </w:rPr>
  </w:style>
  <w:style w:type="character" w:styleId="FootnoteReference">
    <w:name w:val="footnote reference"/>
    <w:semiHidden/>
    <w:rsid w:val="00903B9C"/>
    <w:rPr>
      <w:rFonts w:ascii="Times New Roman" w:hAnsi="Times New Roman"/>
      <w:vertAlign w:val="superscript"/>
    </w:rPr>
  </w:style>
  <w:style w:type="paragraph" w:styleId="DocumentMap">
    <w:name w:val="Document Map"/>
    <w:basedOn w:val="Normal"/>
    <w:semiHidden/>
    <w:rsid w:val="00903B9C"/>
    <w:pPr>
      <w:shd w:val="clear" w:color="auto" w:fill="000080"/>
    </w:pPr>
    <w:rPr>
      <w:rFonts w:ascii="Tahoma" w:hAnsi="Tahoma" w:cs="Tahoma"/>
    </w:rPr>
  </w:style>
  <w:style w:type="character" w:styleId="Hyperlink">
    <w:name w:val="Hyperlink"/>
    <w:rsid w:val="00101EF2"/>
    <w:rPr>
      <w:color w:val="0000FF"/>
      <w:u w:val="single"/>
    </w:rPr>
  </w:style>
  <w:style w:type="paragraph" w:styleId="BalloonText">
    <w:name w:val="Balloon Text"/>
    <w:basedOn w:val="Normal"/>
    <w:semiHidden/>
    <w:rsid w:val="00884446"/>
    <w:rPr>
      <w:rFonts w:ascii="Tahoma" w:hAnsi="Tahoma" w:cs="Tahoma"/>
      <w:sz w:val="16"/>
      <w:szCs w:val="16"/>
    </w:rPr>
  </w:style>
  <w:style w:type="character" w:customStyle="1" w:styleId="FootnoteTextChar">
    <w:name w:val="Footnote Text Char"/>
    <w:link w:val="FootnoteText"/>
    <w:semiHidden/>
    <w:rsid w:val="008F15DF"/>
    <w:rPr>
      <w:lang w:eastAsia="en-US"/>
    </w:rPr>
  </w:style>
  <w:style w:type="character" w:customStyle="1" w:styleId="FooterChar">
    <w:name w:val="Footer Char"/>
    <w:basedOn w:val="DefaultParagraphFont"/>
    <w:link w:val="Footer"/>
    <w:uiPriority w:val="99"/>
    <w:rsid w:val="006D6710"/>
    <w:rPr>
      <w:sz w:val="18"/>
      <w:lang w:eastAsia="en-US"/>
    </w:rPr>
  </w:style>
  <w:style w:type="paragraph" w:styleId="BodyTextIndent">
    <w:name w:val="Body Text Indent"/>
    <w:basedOn w:val="Normal"/>
    <w:link w:val="BodyTextIndentChar"/>
    <w:uiPriority w:val="99"/>
    <w:unhideWhenUsed/>
    <w:rsid w:val="002D6CB4"/>
    <w:pPr>
      <w:spacing w:before="120" w:after="120"/>
      <w:ind w:left="283"/>
      <w:jc w:val="left"/>
    </w:pPr>
    <w:rPr>
      <w:sz w:val="20"/>
    </w:rPr>
  </w:style>
  <w:style w:type="character" w:customStyle="1" w:styleId="BodyTextIndentChar">
    <w:name w:val="Body Text Indent Char"/>
    <w:basedOn w:val="DefaultParagraphFont"/>
    <w:link w:val="BodyTextIndent"/>
    <w:uiPriority w:val="99"/>
    <w:rsid w:val="002D6CB4"/>
    <w:rPr>
      <w:lang w:eastAsia="en-US"/>
    </w:rPr>
  </w:style>
  <w:style w:type="character" w:styleId="PlaceholderText">
    <w:name w:val="Placeholder Text"/>
    <w:basedOn w:val="DefaultParagraphFont"/>
    <w:uiPriority w:val="99"/>
    <w:semiHidden/>
    <w:rsid w:val="00826D51"/>
    <w:rPr>
      <w:color w:val="808080"/>
    </w:rPr>
  </w:style>
  <w:style w:type="table" w:styleId="TableGrid">
    <w:name w:val="Table Grid"/>
    <w:basedOn w:val="TableNormal"/>
    <w:uiPriority w:val="59"/>
    <w:rsid w:val="004E4C3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A668F7"/>
    <w:pPr>
      <w:spacing w:after="160" w:line="252" w:lineRule="auto"/>
      <w:ind w:left="720"/>
      <w:contextualSpacing/>
      <w:jc w:val="left"/>
    </w:pPr>
    <w:rPr>
      <w:rFonts w:eastAsiaTheme="minorHAnsi"/>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383217">
      <w:bodyDiv w:val="1"/>
      <w:marLeft w:val="0"/>
      <w:marRight w:val="0"/>
      <w:marTop w:val="0"/>
      <w:marBottom w:val="0"/>
      <w:divBdr>
        <w:top w:val="none" w:sz="0" w:space="0" w:color="auto"/>
        <w:left w:val="none" w:sz="0" w:space="0" w:color="auto"/>
        <w:bottom w:val="none" w:sz="0" w:space="0" w:color="auto"/>
        <w:right w:val="none" w:sz="0" w:space="0" w:color="auto"/>
      </w:divBdr>
    </w:div>
    <w:div w:id="163015375">
      <w:bodyDiv w:val="1"/>
      <w:marLeft w:val="0"/>
      <w:marRight w:val="0"/>
      <w:marTop w:val="0"/>
      <w:marBottom w:val="0"/>
      <w:divBdr>
        <w:top w:val="none" w:sz="0" w:space="0" w:color="auto"/>
        <w:left w:val="none" w:sz="0" w:space="0" w:color="auto"/>
        <w:bottom w:val="none" w:sz="0" w:space="0" w:color="auto"/>
        <w:right w:val="none" w:sz="0" w:space="0" w:color="auto"/>
      </w:divBdr>
    </w:div>
    <w:div w:id="253784472">
      <w:bodyDiv w:val="1"/>
      <w:marLeft w:val="0"/>
      <w:marRight w:val="0"/>
      <w:marTop w:val="0"/>
      <w:marBottom w:val="0"/>
      <w:divBdr>
        <w:top w:val="none" w:sz="0" w:space="0" w:color="auto"/>
        <w:left w:val="none" w:sz="0" w:space="0" w:color="auto"/>
        <w:bottom w:val="none" w:sz="0" w:space="0" w:color="auto"/>
        <w:right w:val="none" w:sz="0" w:space="0" w:color="auto"/>
      </w:divBdr>
    </w:div>
    <w:div w:id="557320575">
      <w:bodyDiv w:val="1"/>
      <w:marLeft w:val="0"/>
      <w:marRight w:val="0"/>
      <w:marTop w:val="0"/>
      <w:marBottom w:val="0"/>
      <w:divBdr>
        <w:top w:val="none" w:sz="0" w:space="0" w:color="auto"/>
        <w:left w:val="none" w:sz="0" w:space="0" w:color="auto"/>
        <w:bottom w:val="none" w:sz="0" w:space="0" w:color="auto"/>
        <w:right w:val="none" w:sz="0" w:space="0" w:color="auto"/>
      </w:divBdr>
    </w:div>
    <w:div w:id="566110072">
      <w:bodyDiv w:val="1"/>
      <w:marLeft w:val="0"/>
      <w:marRight w:val="0"/>
      <w:marTop w:val="0"/>
      <w:marBottom w:val="0"/>
      <w:divBdr>
        <w:top w:val="none" w:sz="0" w:space="0" w:color="auto"/>
        <w:left w:val="none" w:sz="0" w:space="0" w:color="auto"/>
        <w:bottom w:val="none" w:sz="0" w:space="0" w:color="auto"/>
        <w:right w:val="none" w:sz="0" w:space="0" w:color="auto"/>
      </w:divBdr>
    </w:div>
    <w:div w:id="844393798">
      <w:bodyDiv w:val="1"/>
      <w:marLeft w:val="0"/>
      <w:marRight w:val="0"/>
      <w:marTop w:val="0"/>
      <w:marBottom w:val="0"/>
      <w:divBdr>
        <w:top w:val="none" w:sz="0" w:space="0" w:color="auto"/>
        <w:left w:val="none" w:sz="0" w:space="0" w:color="auto"/>
        <w:bottom w:val="none" w:sz="0" w:space="0" w:color="auto"/>
        <w:right w:val="none" w:sz="0" w:space="0" w:color="auto"/>
      </w:divBdr>
    </w:div>
    <w:div w:id="960914943">
      <w:bodyDiv w:val="1"/>
      <w:marLeft w:val="0"/>
      <w:marRight w:val="0"/>
      <w:marTop w:val="0"/>
      <w:marBottom w:val="0"/>
      <w:divBdr>
        <w:top w:val="none" w:sz="0" w:space="0" w:color="auto"/>
        <w:left w:val="none" w:sz="0" w:space="0" w:color="auto"/>
        <w:bottom w:val="none" w:sz="0" w:space="0" w:color="auto"/>
        <w:right w:val="none" w:sz="0" w:space="0" w:color="auto"/>
      </w:divBdr>
    </w:div>
    <w:div w:id="982393156">
      <w:bodyDiv w:val="1"/>
      <w:marLeft w:val="0"/>
      <w:marRight w:val="0"/>
      <w:marTop w:val="0"/>
      <w:marBottom w:val="0"/>
      <w:divBdr>
        <w:top w:val="none" w:sz="0" w:space="0" w:color="auto"/>
        <w:left w:val="none" w:sz="0" w:space="0" w:color="auto"/>
        <w:bottom w:val="none" w:sz="0" w:space="0" w:color="auto"/>
        <w:right w:val="none" w:sz="0" w:space="0" w:color="auto"/>
      </w:divBdr>
    </w:div>
    <w:div w:id="1021977085">
      <w:bodyDiv w:val="1"/>
      <w:marLeft w:val="0"/>
      <w:marRight w:val="0"/>
      <w:marTop w:val="0"/>
      <w:marBottom w:val="0"/>
      <w:divBdr>
        <w:top w:val="none" w:sz="0" w:space="0" w:color="auto"/>
        <w:left w:val="none" w:sz="0" w:space="0" w:color="auto"/>
        <w:bottom w:val="none" w:sz="0" w:space="0" w:color="auto"/>
        <w:right w:val="none" w:sz="0" w:space="0" w:color="auto"/>
      </w:divBdr>
    </w:div>
    <w:div w:id="1057512489">
      <w:bodyDiv w:val="1"/>
      <w:marLeft w:val="0"/>
      <w:marRight w:val="0"/>
      <w:marTop w:val="0"/>
      <w:marBottom w:val="0"/>
      <w:divBdr>
        <w:top w:val="none" w:sz="0" w:space="0" w:color="auto"/>
        <w:left w:val="none" w:sz="0" w:space="0" w:color="auto"/>
        <w:bottom w:val="none" w:sz="0" w:space="0" w:color="auto"/>
        <w:right w:val="none" w:sz="0" w:space="0" w:color="auto"/>
      </w:divBdr>
    </w:div>
    <w:div w:id="1175221815">
      <w:bodyDiv w:val="1"/>
      <w:marLeft w:val="0"/>
      <w:marRight w:val="0"/>
      <w:marTop w:val="0"/>
      <w:marBottom w:val="0"/>
      <w:divBdr>
        <w:top w:val="none" w:sz="0" w:space="0" w:color="auto"/>
        <w:left w:val="none" w:sz="0" w:space="0" w:color="auto"/>
        <w:bottom w:val="none" w:sz="0" w:space="0" w:color="auto"/>
        <w:right w:val="none" w:sz="0" w:space="0" w:color="auto"/>
      </w:divBdr>
    </w:div>
    <w:div w:id="1204176316">
      <w:bodyDiv w:val="1"/>
      <w:marLeft w:val="0"/>
      <w:marRight w:val="0"/>
      <w:marTop w:val="0"/>
      <w:marBottom w:val="0"/>
      <w:divBdr>
        <w:top w:val="none" w:sz="0" w:space="0" w:color="auto"/>
        <w:left w:val="none" w:sz="0" w:space="0" w:color="auto"/>
        <w:bottom w:val="none" w:sz="0" w:space="0" w:color="auto"/>
        <w:right w:val="none" w:sz="0" w:space="0" w:color="auto"/>
      </w:divBdr>
    </w:div>
    <w:div w:id="1238594022">
      <w:bodyDiv w:val="1"/>
      <w:marLeft w:val="0"/>
      <w:marRight w:val="0"/>
      <w:marTop w:val="0"/>
      <w:marBottom w:val="0"/>
      <w:divBdr>
        <w:top w:val="none" w:sz="0" w:space="0" w:color="auto"/>
        <w:left w:val="none" w:sz="0" w:space="0" w:color="auto"/>
        <w:bottom w:val="none" w:sz="0" w:space="0" w:color="auto"/>
        <w:right w:val="none" w:sz="0" w:space="0" w:color="auto"/>
      </w:divBdr>
    </w:div>
    <w:div w:id="1246501274">
      <w:bodyDiv w:val="1"/>
      <w:marLeft w:val="0"/>
      <w:marRight w:val="0"/>
      <w:marTop w:val="0"/>
      <w:marBottom w:val="0"/>
      <w:divBdr>
        <w:top w:val="none" w:sz="0" w:space="0" w:color="auto"/>
        <w:left w:val="none" w:sz="0" w:space="0" w:color="auto"/>
        <w:bottom w:val="none" w:sz="0" w:space="0" w:color="auto"/>
        <w:right w:val="none" w:sz="0" w:space="0" w:color="auto"/>
      </w:divBdr>
    </w:div>
    <w:div w:id="1285967147">
      <w:bodyDiv w:val="1"/>
      <w:marLeft w:val="0"/>
      <w:marRight w:val="0"/>
      <w:marTop w:val="0"/>
      <w:marBottom w:val="0"/>
      <w:divBdr>
        <w:top w:val="none" w:sz="0" w:space="0" w:color="auto"/>
        <w:left w:val="none" w:sz="0" w:space="0" w:color="auto"/>
        <w:bottom w:val="none" w:sz="0" w:space="0" w:color="auto"/>
        <w:right w:val="none" w:sz="0" w:space="0" w:color="auto"/>
      </w:divBdr>
    </w:div>
    <w:div w:id="1457871076">
      <w:bodyDiv w:val="1"/>
      <w:marLeft w:val="0"/>
      <w:marRight w:val="0"/>
      <w:marTop w:val="0"/>
      <w:marBottom w:val="0"/>
      <w:divBdr>
        <w:top w:val="none" w:sz="0" w:space="0" w:color="auto"/>
        <w:left w:val="none" w:sz="0" w:space="0" w:color="auto"/>
        <w:bottom w:val="none" w:sz="0" w:space="0" w:color="auto"/>
        <w:right w:val="none" w:sz="0" w:space="0" w:color="auto"/>
      </w:divBdr>
    </w:div>
    <w:div w:id="1486314849">
      <w:bodyDiv w:val="1"/>
      <w:marLeft w:val="0"/>
      <w:marRight w:val="0"/>
      <w:marTop w:val="0"/>
      <w:marBottom w:val="0"/>
      <w:divBdr>
        <w:top w:val="none" w:sz="0" w:space="0" w:color="auto"/>
        <w:left w:val="none" w:sz="0" w:space="0" w:color="auto"/>
        <w:bottom w:val="none" w:sz="0" w:space="0" w:color="auto"/>
        <w:right w:val="none" w:sz="0" w:space="0" w:color="auto"/>
      </w:divBdr>
    </w:div>
    <w:div w:id="1535315218">
      <w:bodyDiv w:val="1"/>
      <w:marLeft w:val="0"/>
      <w:marRight w:val="0"/>
      <w:marTop w:val="0"/>
      <w:marBottom w:val="0"/>
      <w:divBdr>
        <w:top w:val="none" w:sz="0" w:space="0" w:color="auto"/>
        <w:left w:val="none" w:sz="0" w:space="0" w:color="auto"/>
        <w:bottom w:val="none" w:sz="0" w:space="0" w:color="auto"/>
        <w:right w:val="none" w:sz="0" w:space="0" w:color="auto"/>
      </w:divBdr>
    </w:div>
    <w:div w:id="1540359254">
      <w:bodyDiv w:val="1"/>
      <w:marLeft w:val="0"/>
      <w:marRight w:val="0"/>
      <w:marTop w:val="0"/>
      <w:marBottom w:val="0"/>
      <w:divBdr>
        <w:top w:val="none" w:sz="0" w:space="0" w:color="auto"/>
        <w:left w:val="none" w:sz="0" w:space="0" w:color="auto"/>
        <w:bottom w:val="none" w:sz="0" w:space="0" w:color="auto"/>
        <w:right w:val="none" w:sz="0" w:space="0" w:color="auto"/>
      </w:divBdr>
    </w:div>
    <w:div w:id="1555892873">
      <w:bodyDiv w:val="1"/>
      <w:marLeft w:val="0"/>
      <w:marRight w:val="0"/>
      <w:marTop w:val="0"/>
      <w:marBottom w:val="0"/>
      <w:divBdr>
        <w:top w:val="none" w:sz="0" w:space="0" w:color="auto"/>
        <w:left w:val="none" w:sz="0" w:space="0" w:color="auto"/>
        <w:bottom w:val="none" w:sz="0" w:space="0" w:color="auto"/>
        <w:right w:val="none" w:sz="0" w:space="0" w:color="auto"/>
      </w:divBdr>
    </w:div>
    <w:div w:id="1643736012">
      <w:bodyDiv w:val="1"/>
      <w:marLeft w:val="0"/>
      <w:marRight w:val="0"/>
      <w:marTop w:val="0"/>
      <w:marBottom w:val="0"/>
      <w:divBdr>
        <w:top w:val="none" w:sz="0" w:space="0" w:color="auto"/>
        <w:left w:val="none" w:sz="0" w:space="0" w:color="auto"/>
        <w:bottom w:val="none" w:sz="0" w:space="0" w:color="auto"/>
        <w:right w:val="none" w:sz="0" w:space="0" w:color="auto"/>
      </w:divBdr>
    </w:div>
    <w:div w:id="1921406743">
      <w:bodyDiv w:val="1"/>
      <w:marLeft w:val="0"/>
      <w:marRight w:val="0"/>
      <w:marTop w:val="0"/>
      <w:marBottom w:val="0"/>
      <w:divBdr>
        <w:top w:val="none" w:sz="0" w:space="0" w:color="auto"/>
        <w:left w:val="none" w:sz="0" w:space="0" w:color="auto"/>
        <w:bottom w:val="none" w:sz="0" w:space="0" w:color="auto"/>
        <w:right w:val="none" w:sz="0" w:space="0" w:color="auto"/>
      </w:divBdr>
    </w:div>
    <w:div w:id="1926528303">
      <w:bodyDiv w:val="1"/>
      <w:marLeft w:val="0"/>
      <w:marRight w:val="0"/>
      <w:marTop w:val="0"/>
      <w:marBottom w:val="0"/>
      <w:divBdr>
        <w:top w:val="none" w:sz="0" w:space="0" w:color="auto"/>
        <w:left w:val="none" w:sz="0" w:space="0" w:color="auto"/>
        <w:bottom w:val="none" w:sz="0" w:space="0" w:color="auto"/>
        <w:right w:val="none" w:sz="0" w:space="0" w:color="auto"/>
      </w:divBdr>
    </w:div>
    <w:div w:id="2068872610">
      <w:bodyDiv w:val="1"/>
      <w:marLeft w:val="0"/>
      <w:marRight w:val="0"/>
      <w:marTop w:val="0"/>
      <w:marBottom w:val="0"/>
      <w:divBdr>
        <w:top w:val="none" w:sz="0" w:space="0" w:color="auto"/>
        <w:left w:val="none" w:sz="0" w:space="0" w:color="auto"/>
        <w:bottom w:val="none" w:sz="0" w:space="0" w:color="auto"/>
        <w:right w:val="none" w:sz="0" w:space="0" w:color="auto"/>
      </w:divBdr>
    </w:div>
    <w:div w:id="2137671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Dace.Matvejeva@vid.gov.lv"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evija.mozga@iub.gov.lv"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artins.linde@kase.gov.lv"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mailto:ilze.kote@fm.gov.lv"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andzela.apercoje@fm.gov.lv" TargetMode="Externa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0F717F1-1E9E-483B-9484-E1E1FB6E46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10511</Words>
  <Characters>5992</Characters>
  <Application>Microsoft Office Word</Application>
  <DocSecurity>0</DocSecurity>
  <Lines>49</Lines>
  <Paragraphs>32</Paragraphs>
  <ScaleCrop>false</ScaleCrop>
  <HeadingPairs>
    <vt:vector size="2" baseType="variant">
      <vt:variant>
        <vt:lpstr>Title</vt:lpstr>
      </vt:variant>
      <vt:variant>
        <vt:i4>1</vt:i4>
      </vt:variant>
    </vt:vector>
  </HeadingPairs>
  <TitlesOfParts>
    <vt:vector size="1" baseType="lpstr">
      <vt:lpstr>Nosūtāmais dokuments</vt:lpstr>
    </vt:vector>
  </TitlesOfParts>
  <Company>Finanšu ministrija</Company>
  <LinksUpToDate>false</LinksUpToDate>
  <CharactersWithSpaces>16471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Nosūtāmais dokuments</dc:title>
  <dc:subject>Par informatīvo ziņojumu "Par valsts informācijas</dc:subject>
  <dc:creator>Aperčoje A.</dc:creator>
  <dc:description>Sagatavots ALS E-aprites vidē.</dc:description>
  <cp:lastModifiedBy>Vineta</cp:lastModifiedBy>
  <cp:revision>2</cp:revision>
  <cp:lastPrinted>2007-06-25T10:49:00Z</cp:lastPrinted>
  <dcterms:created xsi:type="dcterms:W3CDTF">2020-05-20T11:54:00Z</dcterms:created>
  <dcterms:modified xsi:type="dcterms:W3CDTF">2020-05-20T11:54:00Z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