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esošajā redakcijā ir pārprotami, jo šķietami tiek grozīti iepriekš noteiktie 2.1.1.SAM uzraudzības rādītāji. Lai to novērstu un veiktie grozījumi būtu nepārprotami un skaidri, lūdzam 4.1.apakšpunktu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sasniedzams specifiskais iznākuma rādītājs: mājsaimniecību skaits atbalstāmajās administratīvajās teritorijās, kurās komersantiem ir nodrošināta iespēja pieslēgties specifiskā atbalsta mērķa ietvaros izbūvētajam atvilces maršrutēšanas tīklam -  </w:t>
            </w:r>
            <w:r w:rsidR="00000000" w:rsidRPr="00000000" w:rsidDel="00000000">
              <w:rPr>
                <w:u w:val="single"/>
                <w:rtl w:val="0"/>
              </w:rPr>
              <w:t xml:space="preserve">pieaugums par  83 800 mājsaimniecībām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(tostarp redakcija un mērīšanas metodika) noteikumu projektā iekļauts atbilstoši grozījumiem Nr. 9 darbības programmā “Izaugsme un nodarbinātība”, kas apstiprināti Ministru kabinetā (09.05.2023. sēdes protokols Nr. 25,7.§, 23-TA-764) un 2.1.1.SAM rādītāju aprakstam. https://m.esfondi.lv/planosanas-dokumenti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4.1.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akciju sabiedrība "Latvijas Valsts radio un televīzijas centrs"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4.2.1.apakšpunktu izteikt šādā redakcijā: “4.2.1. mājsaimniecības lauku teritorijās, kurām pieejami platjoslas piekļuves pakalpojumi ar vismaz 30 Mb/s datu pārraides ātrumu - 85% no mājsaimniecībām”, precizējot jēdzienu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(tostarp redakcija un mērīšanas metodika) noteikumu projektā iekļauts atbilstoši grozījumiem Nr. 9 darbības programmā “Izaugsme un nodarbinātība”, kas apstiprināti Ministru kabinetā (09.05.2023. sēdes protokols Nr. 25,7.§, 23-TA-764) un 2.1.1.SAM rādītāju aprakstam. https://m.esfondi.lv/planosanas-dokumenti . Vēršam uzmanību, ka rādītāju aprakstā ir definēti lauku apvidi.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4.2.1. un 4.2.2. apakšpunktus apvienot un izteikt vienā no diviem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laukos, kurām pieejami platjoslas piekļuves pakalpojumi ar vismaz 30 Mb/s datu pārraides ātrumu - 85% no mājsaimniecībām, kas sastāda 175 000 mājsaimniecību, </w:t>
            </w:r>
            <w:r w:rsidR="00000000" w:rsidRPr="00000000" w:rsidDel="00000000">
              <w:rPr>
                <w:u w:val="single"/>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mājsaimniecības laukos, kurām pieejami platjoslas piekļuves pakalpojumi ar vismaz 30 Mb/s datu pārraides ātrumu - 85% no 206 000 laukos esošajām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rādītāji (tostarp redakcija un mērīšanas metodika) noteikumu projektā iekļauti atbilstoši grozījumiem Nr. 9 darbības programmā “Izaugsme un nodarbinātība”, kas apstiprināti Ministru kabinetā (09.05.2023. sēdes protokols Nr. 25,7.§, 23-TA-764) un 2.1.1.SAM rādītāju aprakstam. https://m.esfondi.lv/planosanas-dokumenti . Vēršam uzmanību, ka 4.2.1. un 4.2.2. apakšpunktā ir noteikti atšķirīgi rādītāji, katrs ar savu noteikšanas metodiku, līdz ar to rādītāji nav apvienojami.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“Cita informācija” ar informāciju par ierosināto grozījumu ietekmi un nepieciešamajiem grozījumiem vienošanās par projekta īstenošanu. Tāpat lūdzam papildināt anotāciju ar informāciju, vai grozījumu projektā rosinātās izmaiņas vērtējamas kā būtiskas kontekstā ar Eiropas Parlamenta un Padomes 2013.gada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nepieciešamajiem līguma grozījumiem pārcelta no 4.2. sadaļas uz 7.5.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sadaļa papildināta ar informāciju par rosināto izmaiņu 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23-TA-1422</w:t>
    </w:r>
    <w:r>
      <w:br/>
    </w:r>
    <w:r w:rsidR="00000000" w:rsidRPr="00000000" w:rsidDel="00000000">
      <w:rPr>
        <w:rtl w:val="0"/>
      </w:rPr>
      <w:t xml:space="preserve">18.07.2023. 14.41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23-TA-1422</w:t>
    </w:r>
    <w:r>
      <w:br/>
    </w:r>
    <w:r w:rsidR="00000000" w:rsidRPr="00000000" w:rsidDel="00000000">
      <w:rPr>
        <w:rtl w:val="0"/>
      </w:rPr>
      <w:t xml:space="preserve">18.07.2023. 14.41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Izziņa_23-TA-1422.docx</dc:title>
</cp:coreProperties>
</file>

<file path=docProps/custom.xml><?xml version="1.0" encoding="utf-8"?>
<Properties xmlns="http://schemas.openxmlformats.org/officeDocument/2006/custom-properties" xmlns:vt="http://schemas.openxmlformats.org/officeDocument/2006/docPropsVTypes"/>
</file>