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(14.03.2024.)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08.10.2025. 09:12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norādīts, ka FM priekšlikums ir ņemts vērā pēc būtības, taču, izskatot precizēto anotāciju, ir secināms, ka nav veikti precizējumi, kas skaidri norāda, kāds finansējums tiek pārdalīts un ir pieprasāms no 80.00.00 programmas "Nesadalītais finansējums Eiropas Savienības politiku instrumentu un pārējās ārvalstu finanšu palīdzības līdzfinansēto projektu un pasākumu īstenošanai", kā arī nav sniegts skaidrojums par nacionālo līdzfinansējumu, attiecīgi atkārtoti lūdzam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norādītās summas 14 699 218 euro papildināt, ka tas ir Taisnīgas pārkārtošanās fonda finansējums un pie informācijas par pārdalīto finansējumu papildināt, ka tas ir Taisnīgas pārkārtošanās fonda finansējums, kas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pašvaldību budžetu paskaidrot, ka finansējuma pārdale tiek veikta no 6.1.1.6.pasākuma "Bezemisiju transportlīdzekļu izmantošanas veicināšana pašvaldībās", kurā nacionālais līdzfinansējums bija plānots kā pašvaldību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lūdzu dzēst šo punktu par minētā apliecinājuma iesniegšanu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593 62.7. apakšpunkta prasība, ar kuru ir noteikts pienākums vispārējas tautsaimnieciskas nozīmes pakalpojuma (turpmāk – VTNP) pilnvarojuma uzlicējam iesniegt apliecinājumu par atlīdzības (kompensācijas) maksājumu kontroli, pārskatīšanu, pārmaksas novēršanu un atgūšanu, pēc būtības papildina MK noteikumu Nr. 593 62.4.6. un 62.5.7. apakšpunktu nosacījumus, kuri paredz, ka VTNP pakalpojuma līgumā vai pašvaldības saistošajos noteikumos ir nepieciešams iekļaut informāciju par iespēju VTNP sniedzējam saņemt atlīdzības (kompensācijas) maksājumus un norādīt šo maksājumu aprēķināšanas, kontroles, pārskatīšanas, maksājumu pārmaksas novēršanas un atmaksāšanas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2025. gada 31. jūlija metodikā Nr. 3.1. “Eiropas Reģionālās attīstības fonda, Eiropas Sociālā fonda plus, Kohēzijas fonda un Taisnīgas pārkārtošanās fonda projektu iesniegumu atlases metodika 2021.–2027.gadam” 5. pielikuma 10. kritērijā (vienlaikus uzsverot, ka tas ir labās prakses piemērs) ir norādīta nepieciešamība projekta iesniegumam pievienot VTNP pilnvarojuma uzlicēja apliecinājumu, ka tas kontrolēs un nepieciešamības gadījumā pārskatīs pakalpojuma līgumā par VTNP sniegšanu paredzētos atlīdzības (kompensācijas) maksājumus, kā arī novērsīs un atgūs pakalpojuma līgumā paredzēto atlīdzības (kompensācijas) maksājumu pārmaksu. Attiecīgi arī ES fondu 6PO apakškomitejas 2025. gada 25. septembra sēdē tika izskatīta 6.1.1.3. pasākuma projektu iesniegumu vērtēšanas kritēriju metodika, kurā arī ir iekļauts nosacījums par projekta iesniegumam pievienot VTNP pilnvarojuma uzlicēja apliecinājumu. Ņemot vērā augstāk minēto, MK noteikumu Nr. 593 62.7. apakšpunkts svītrots netiek.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26.08.2025. 14:02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6.1.1.6. pasākuma "Bezemisiju transportlīdzekļu izmantošanas veicināšana pašvaldībās" 1. kārtas atlikušā un elastības finansējuma (kopā 14 699 218 EUR apmērā) novirzīšanu uz 6.1.1.3. pasākumu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samazināt uz pusi atbalstu elektromobilitātes veicināšanas pasākumiem pašvaldībām un pārvirzīt to industriālo parku attīstībai nav atbalstāms, ņemot vērā lielo izaicinājumu transporta jomas virzībā uz klimatneitralitāti, vieglā autotransporta emisijām turpinot pieaugt un vienlaikus pastāvot ļoti lielam investīciju iztrūkumam šīs nozares dekarbonizācijā. Šim mērķim ir pieejamais finansējums no Atveseļošanās un noturības fonda, kā arī no Modernizācijas fonda, nav kompensējošs, jo minētie fondi nav uzskatāmi kā papildu pasākumi, respektīvi, finansējuma samazināšana bezemisiju transportlīdzekļiem Taisnīgās pārkārtošanās fondā nozīmē investīciju samazinājumu kopumā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iemesls ierosinātajai pārdalei ir zema pašvaldību interese, tad ir nepieciešams ar pašvaldībām pārrunāt iemeslus un šķēršļus, un attiecīgi grozīt programmas noteikumus, saglabājot virsmērķi – transportlīdzekļu emisiju samazināšanu pašvaldībās. Ja tomēr nav rodams risinājums, kā tieši pašvaldību pieteikšanās aktivitāti veicināt, tad būtu nepieciešams apskatīt citas mērķgrupas taisnīgās pārkārtošanās reģionos, piemēram, uzņēmējus, kuriem arī nepieciešams atbalsts pārejā uz bezemisiju mobilitāti. Apsverams varētu būt arī risinājums novadu pašvaldībām ar lauku teritorijām atbalstīt CNG autobusu iegādi ar nosacījumu, ka tajos izmantotā degviela ir tikai biometāns. Jebkurā gadījumā būtiskākais ir saglabāt investīcijas apmēru tieši transporta nozares dekarbonizācijā, lai neradītu pretrunas ar Nacionālā enerģētikas un klimata plāna īstenošanu un tā īstenošanai iezīmētajiem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Viedās administrācijas un reģionālās attīstības ministrija (turpmāk – VARAM), pēc noteikumu projekta nodošanas atkārtotai starpinstitūciju saskaņošanai TAP, 2025. gada 8. oktobrī nosūtīja elektroniskā pasta vēstuli Nr. 4-5/4780 biedrībai “Zaļā brīvība”, informējot, ka TAP atkārtotai saskaņošanai ir novirzīts precizētais noteikumu projekts, vienlaikus aicinot biedrību “Zaļā brīvība” izteikt viedokli par precizēto noteikumu projektu līdz 2025. gada 15. oktobrim. VARAM nav saņēmusi biedrības “Zaļā Brīvība” atbildi par precizēto noteikumu projektu, līdz ar to atbilstoši MK 2021. gada 7. septembra noteikumu  “Ministru kabineta kārtības rullis” 71. punktam sākotnēji izteiktais iebildums ir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finansējuma palielinājums 6.1.1.3. pasākumā “Atbalsts uzņēmējdarbībai nepieciešamās publiskās infrastruktūras attīstībai, veicinot pāreju uz klimatneitrālu ekonomiku” (turpmāk – 6.1.1.3. pasākums) ir nodrošināts atbilstoši Ministru kabineta (turpmāk – MK) 2025. gada 29. maija sēdē apstiprinātajam MK rīkojumam Nr. 314 “Grozījumi Ministru kabineta 2021. gada 16. novembra rīkojumā Nr. 841 "Par Eiropas Savienības kohēzijas politikas programmu 2021.-2027. gadam” (turpmāk – DP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Respektējot iebildumus par 6.1.1.6. pasākuma "Bezemisiju transportlīdzekļu izmantošanas veicināšana pašvaldībās" atlikuma pārdali uz 6.1.1.3. pasākumu DP grozījumu izstrādes ietvaros, sadarbībā ar iesaistītajām pusēm, iesaistoties arī Klimata un enerģētikas ministrijai, tika organizēta tikšanās un diskusija, kuras rezultātā pašvaldību pārstāvošās organizācijas iesniedza vēstules Viedās administrācijas un reģionālās attīstības ministrijai (turpmāk – VARAM) par atbalstu Taisnīgas pārkārtošanās fonda (turpmāk – TPF) finansējuma atlikuma  pārdalei uz 6.1.1.3.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kopējo VARAM pārziņā esošo pasākumu ietvaros plānoto rādītāju sniegumu, secināms, ka ar mazāku finansējuma apmēru, ir pilnībā (100%) sasniegti VARAM plānotie rādītāji (iegādāti 53 bezemisiju transportlīdzekļi), nodrošinot, ka VARAM pasākumi pilnībā izpilda Nacionālajā enerģētikas un klimata plānā (uzdevums 3.1.1.6.) uz VARAM attiecināmo ieguldījumu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VARAM pārziņā esošo pasākumu ietvaros iesniegtajiem un īstenošanā esošajiem 6.1.1.6. pasākuma projektiem liecina, ka Taisnīgas pārkārtošanās teritoriālajā plānā (turpmāk – TPTP) plānotais bezemisiju transportlīdzekļu skaits (38 transportlīdzekļi) tiks sasniegts 90% apmērā (34 transportlīdzekļi). Savukārt VARAM pārziņā esošās Atveseļošanas un noturības mehānisma investīcijas 3.1.1.6.i “Pašvaldību funkciju īstenošanai un pakalpojumu sniegšanai nepieciešamo bezemisiju transportlīdzekļu iegāde” ietvaros plānotais mērķis (15 bezemisiju transportlīdzekļi) tiks pārsniegts, sasniedzot 126% (19 bezemisiju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6.1.1.6. pasākuma projektu iesniegumu atlases ietvaros tika gan veikts papildu konsultatīvs darbs projektu iesniegumu sagatavošanā, gan izsludināta jauna atlase un pagarināts projektu iesniegumu atlases termiņš, tomēr pašvaldību interese par bezemisiju transportlīdzekļu iegādi ir bijusi zema un kā būtiskākie kavējošie faktori tiek identificēti - augstās bezemisiju transportlīdzekļu iegādes izmaksas, kavētas piegādes (citreiz arī nekvalitatīvas) piegādes no ražotāju puses, slikts lauku ceļu segums un problemātiski atsevišķi maršruti rudens un pavasara sezonā u.c. apsvērumi, kas ietekmē pašvaldību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6.1.1.6. pasākums un 6.1.1.3. pasākums abi ir TPTP 2. darbības “Reģionālās uzņēmējdarbības attīstība, veicinot pāreju uz klimatneitrālu ekonomiku” pasākumi, kuras ietvaros paredzēti ieguldījumi konkrēti bezemisiju transportlīdzekļos, nevis mazemisiju transportlīdzekļos.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satiksmes pārvadu, ielu, ceļu (tai skaitā ar saistvielām nesaistītu minerālmateriālu maisījuma segumu, ja būvē jaunu ceļu vai ielu) infrastruktūras attīstība un ar to saistītās infrastruktūras (piemēram, stāvlaukumi, pieturvietas, caurtekas) būvniecība,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pašvaldība (VNP) iebilst pret  iepriekš minēto ierobežojumu, jo esam ir izvērtējusi, ka ceļš, uz kura ir veikta divkārtu grants  virsmas apstrāde, salīdzinot ar grants ceļu, novērš putēšanas iespēju, t.i., ceļa virskārtas slānis paliek pastāvīgs, tādējādi tiek iegūts vispārējs  komforts, samazinās uzturēšanas izmaksas, jo nav jāveic greiderēšanas darbi, neveidojas tā saucamā “redele”, ir organizēta ūdens atvade no ceļa virsmas, stiprība vai nestspēja ir tāda pati kā grants ceļiem. VNP kā finansējuma saņēmējs kārtējā gada budžeta paredzēs pietiekamu finansējumu ceļa segumu ar divkārtu virsmas apstrādes uzturēšanas izdevumu segšanai. Apliecinām, ka tiks  nodrošināts, ka dubultās virsmas grants seguma risinājums būs ilgtspējīgs, t.i. infrastruktūra būs pieejama un lietojama arī Projekta uzraudzības posmā, komersantiem netiks pasliktinātas līdz šim pieejamās pārvietošanās iespējas (piemēram, pārvietošanās iespējas ar smago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pieejamos ierobežotos finanšu resursus un pašvaldības līdzfinansēšanas iespējas ceļu pārbūves darbu vajadzībai, VNP ir izvērtējusi, ka ilgtermiņā divkārtu virsmas segums ir ekonomiski izdevīgākais risinājums. VNP kā finansējuma saņēmējs  apliecina, ka nodrošinās finanšu līdzekļus pietiekamā apmērā infrastruktūras uzturēšanai, t.sk. ik 5-7 gadiem  paredzot  vienkārtas virsmas atjaunošana darbus, tādejādi  nodrošinot autoceļa segumam ūdensnecaurlaidību, pagarinot tā ilgtspēju un uzlabojot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satiksmes pārvadu, ielu, ceļu (tai skaitā ar saistvielām nesaistītu minerālmateriālu maisījuma segumu, ja būvē jaunu ceļu vai ielu, kā arī ar divkārtu virsmas apstrādi, ja būvē jaunu ceļu vai pārbūvē esošu ceļu vai ielu) infrastruktūras attīstība un ar to saistītās infrastruktūras (piemēram, stāvlaukumi, pieturvietas, caurtekas) būvniecība,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w:t>
            </w:r>
            <w:r w:rsidR="00000000" w:rsidRPr="00000000" w:rsidDel="00000000">
              <w:rPr>
                <w:b w:val="1"/>
                <w:rtl w:val="0"/>
              </w:rPr>
              <w:t xml:space="preserve">divkārtu virsmas apstrāde esošam ceļam vai ielai jau līdz šim ir tikusi attiecināta</w:t>
            </w:r>
            <w:r w:rsidR="00000000" w:rsidRPr="00000000" w:rsidDel="00000000">
              <w:rPr>
                <w:rtl w:val="0"/>
              </w:rPr>
              <w:t xml:space="preserve"> 6.1.1.3.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divkārtu virsmas apstrāde 6.1.1.3. pasākuma ietvaros netiek interpretēta, kā ceļš ar </w:t>
            </w:r>
            <w:r w:rsidR="00000000" w:rsidRPr="00000000" w:rsidDel="00000000">
              <w:rPr>
                <w:b w:val="1"/>
                <w:rtl w:val="0"/>
              </w:rPr>
              <w:t xml:space="preserve">nesaistītu minerālmateriālu maisījumu</w:t>
            </w:r>
            <w:r w:rsidR="00000000" w:rsidRPr="00000000" w:rsidDel="00000000">
              <w:rPr>
                <w:rtl w:val="0"/>
              </w:rPr>
              <w:t xml:space="preserve">, ievērojot to, ka nesaistīts minerālmateriālu maisījums (piemēram, grants ceļš) ir ceļa segums, kurā materiāli (grants, smiltis, šķembas) </w:t>
            </w:r>
            <w:r w:rsidR="00000000" w:rsidRPr="00000000" w:rsidDel="00000000">
              <w:rPr>
                <w:b w:val="1"/>
                <w:rtl w:val="0"/>
              </w:rPr>
              <w:t xml:space="preserve">nav saistīti ar bitumu vai citu saistvielu</w:t>
            </w:r>
            <w:r w:rsidR="00000000" w:rsidRPr="00000000" w:rsidDel="00000000">
              <w:rPr>
                <w:rtl w:val="0"/>
              </w:rPr>
              <w:t xml:space="preserve">. Tie tiek vienkārši sablīvēti, un ceļš var būt jutīgs pret laikapstākļiem, putekļošanu un eroziju. Savukārt </w:t>
            </w:r>
            <w:r w:rsidR="00000000" w:rsidRPr="00000000" w:rsidDel="00000000">
              <w:rPr>
                <w:b w:val="1"/>
                <w:rtl w:val="0"/>
              </w:rPr>
              <w:t xml:space="preserve">divkārtu virsmas apstrāde ir bituma virsmas apstrādes metode, kur bitums darbojas kā saistviela</w:t>
            </w:r>
            <w:r w:rsidR="00000000" w:rsidRPr="00000000" w:rsidDel="00000000">
              <w:rPr>
                <w:rtl w:val="0"/>
              </w:rPr>
              <w:t xml:space="preserve">, kas satur šķembas vietā. Tas ir saistīts ceļa segums, kas tiek uzklāts uz jau esoša ceļa (bieži uz grants vai asfaltēta pamata), lai uzlabotu tā īpašības. Attiecīgi, ja ceļš ir tikai ar nesaistītu minerālmateriālu maisījumu, tas ir grants ceļš, bet ja uz šī ceļa tiek uzklāta divkārtu virsmas apstrāde - tas kļūst par saistītu segumu, jo tiek izmantots bitums, attiecīgi arī jau līdzšinējās projektu iesniegumu atlasēs divkārtu virsmas segums ir bijis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satiksmes pārvadu, ielu, ceļu (tai skaitā ar saistvielām nesaistītu minerālmateriālu maisījuma segumu, ja būvē jaunu ceļu vai ielu) infrastruktūras attīstība un ar to saistītās infrastruktūras (piemēram, stāvlaukumi, pieturvietas, caurtekas) būvniecība, pārbūve vai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15.punktā piedāvāto redakciju, ņemot vērā, ka, ja tiek paredzēts, ka 6.1.1.3. pasākuma “Atbalsts uzņēmējdarbībai nepieciešamās publiskās infrastruktūras attīstībai, veicinot pāreju uz klimatneitrālu ekonomiku” (turpmāk – 6.1.1.3.pasākums) otrās atlases kārtas ietvaros jāveic tikai projekta atbalsta likmes un finanšu analīzes rādītāju aprēķins, tad teksta daļa par ekonomiskās analīzes rezultātiem noteikumu projekta 28.punktā piedāvātajā redakcijā jādzēš.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tiek plānots noteikt projekta ekonomiskā neto pašreizējo vērtību (turpmāk – ENPV) un Ekonomiskās iekšējās atdeves normas (turpmāk – ERR) vērtības, tad projektiem ir jāveic arī ekonomiskā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Viedās administrācijas un reģionālās attīstības ministriju vērtēt un papildus pamatot vai 6.1.1.3.pasākuma 2.atlases kārtas ietvaros nepieciešama līdz šim Ministru kabineta 2023.gada 17.oktobra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MK noteikumi Nr. 593)  28.punktā noteikto prasību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administratīvā sloga mazināšanas virzienu, saņēmējiem un valsts pārvaldē kopumā joprojām ir būtiski nodrošināt ES fondu atbalstu tādiem projektiem, kas ir ar izsekojami un skaidri pamatotu lielāko ieguvumu, t.sk. balstoties izmaksu un ieguvumu analīzes datos, attiecīgi lūdzam pamatos, vai līdzšinējās pieejas maiņa 6.1.1.3.pasākuma otrajā kārtā t.sk. salīdzinot ar līdzšinējo pieeju, ir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finansējuma sadalījumu starp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kā izstrādātie grozījumi ietekmē finansējuma saņēmējus un vai līgumā vai vienošanās par projekta īstenošanu ir nepieciešams veikt grozījumus, vienlaikus, ja attiecināms, norādot, vai minētie grozījumi ir būtiski, kas varētu ietekmēt projekta darbības veidu, mērķus vai īstenošanas nosacījumus, tādējādi traucējot tās sākotnējo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 sadaļas “Pašreizējā situācija, problēmas un risinājumi” apakšsadaļas “Problēmas un risinājumi” risinājuma aprakstā ierosinātajos grozījumos Nr.1., 2. un 5. ir norādīts, ka tie ir attiecināmi uz 6.1.1.3. pasākuma otro kārtu. Ar ierosinātajiem grozījumiem Nr. 4., 6., 7., 9. un 10. tiesiskās skaidrības nodrošināšanai tiek skaidroti nosacījumi, nemainot pieeju, kāda tika piemērota 6.1.1.3. pasākuma iepriekšējās kārtas projektos, izņemot 6.punktā daļu, kas paredz, ka 6.1.1.3. pasākuma otrajā atlases kārtā var būt projekti, kuriem TPF atbalsta likme ir 90% no projekta iesnieguma attiecināmo izmaksu summas. Savukārt ierosināto precizējumu Nr.8 var attiecināt un piemērot arī uz 6.1.1.3. pasākuma pirmās atlases kārtas projektiem, ja projektos būs radušies ietaupījumi un šādas iepriekš norādītās izmaksas būs nepieciešams iekļaut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Ludzu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nepieciešamību aizpildīt 1.-5.punktus un to apakšpunktus un arī 6.punktu, jo, lai gan skaidrojumā ir norādīts, Programmas  ietvaros kopējais finansējums šo noteikumu projekta rezultātā nemainās, tas mainās tieši attiecībā uz noteikumu projektā noteikto 6.1.1.3.pasākumu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“Cita informācija” pie norādītās summas 14 699 218 euro papildināt, ka tas ir Taisnīgas pārkārtošanās fonda (turpmāk – TPF) finansējums, kā arī attiecībā uz pašvaldību budžetu paskaidrot, ka finansējuma pārdale tiek veikta no 6.1.1.6.pasākuma "Bezemisiju transportlīdzekļu izmantošanas veicināšana pašvaldībās", kurā nacionālais līdzfinansējums bija plānots kā pašvaldību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punktā “Cita informācija” sniegto informāciju, norādot, ka finansējums projektu īstenošanai attiecībā uz TPF finansējumu, kas tiek pārdalīts no 6.1.1.6.pasākuma "Bezemisiju transportlīdzekļu izmantošanas veicināšana pašvaldībās",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Lūdzu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ir paredzēts palielināt 6.1.1.3. pasākumam pieejamo finansējumu no 57 976 211 uz 75 269 409 euro, kas nozīmē, ka finansējuma palielinājums ir lielāks par 20% no kopējā finansējuma. Attiecīgi tā kā grozījumi shēmā kvalificējami kā būtiski, lūdzam anotāciju papildināt ar nosacījumu, ka VARAM 20 darba dienu laikā no noteikumu spēkā stāšanās, izmantojot SANI2 sistēmu, iesniegs Eiropas komisijai kopsavilkumu par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kohēzijas politikas programmā 2021.-2027. gadam rosinātās finansējuma pārdales (iesniegtas Eiropas Komisijā 2025. gada 29. maijā), atļaut Centrālajai finanšu un līgumu aģentūrai izsludināt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otro atlases kārtu – atklātu projektu iesniegumu atlasi, veikt iesniegto projektu iesniegumu vērtēšanu un, pēc projektu iesniegumu apstiprināšanas, slēgt ar finansējuma saņēmējiem vienošanās vai līgumus par Ministru kabineta 2023. gada 17. 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15.2.2. apakšpunktā noteikto projektu īstenošanu pēc pozitīva Eiropas Komisijas lēmuma saņemšanas par grozījumiem Eiropas Savienības kohēzijas politikas programmā 2021.–2027.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(turpmāk – MK) protokollēmuma projekta 3. punktā norādīt precīzu Taisnīgas pārkārtošanās fonda finansējuma apmēru, par kuru Centrālajai finanšu un līgumu aģentūrai (turpmāk – CFLA) jāuzņemas saistības. Vienlaikus lūdzam papildināt MK protokollēmuma projektu ar jaunu punktu, kas nosaka, ka CFLA neuzņemas saistības par 6.1.1. specifiskā atbalsta mērķa "Pārejas uz klimatneitralitāti radīto ekonomisko, sociālo un vides seku mazināšana visvairāk skartajos reģionos" 6.1.1.6. pasākuma "Bezemisiju transportlīdzekļu izmantošanas veicināšana pašvaldībās" Taisnīgas pārkārtošanās fonda finansējuma ietaupījumu 14 699 218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sēdes protokollēmuma projekta 3. punkts paredz pirms pozitīva Eiropas Komisijas lēmuma saņemšanas par grozījumiem Eiropas Savienības kohēzijas politikas programmā 2021.-2027.gadam atļaut Centrālajai finanšu un līgumu aģentūrai par Taisnīgas pārkārtošanās fonda finansējumu 17 935 905 </w:t>
            </w:r>
            <w:r w:rsidR="00000000" w:rsidRPr="00000000" w:rsidDel="00000000">
              <w:rPr>
                <w:i w:val="1"/>
                <w:rtl w:val="0"/>
              </w:rPr>
              <w:t xml:space="preserve">euro </w:t>
            </w:r>
            <w:r w:rsidR="00000000" w:rsidRPr="00000000" w:rsidDel="00000000">
              <w:rPr>
                <w:rtl w:val="0"/>
              </w:rPr>
              <w:t xml:space="preserve">apmērā izsludināt projektu iesniegumu atlasi, veikt iesniegto projektu iesniegumu vērtēšanu un apstiprināšanu un tikai pēc pozitīva Eiropas Komisijas lēmuma saņemšanas par grozījumiem Eiropas Savienības kohēzijas politikas programmā 2021.–2027. gadam slēgt ar finansējuma saņēmējiem vienošanās vai līgumus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MK noteikumu 15.2.2. apakšpunktā norādītajā un MK protokollēmuma projekta 3. punktā norādītajā Taisnīgas pārkārtošanās fonda finansējumā (17 935 905 </w:t>
            </w:r>
            <w:r w:rsidR="00000000" w:rsidRPr="00000000" w:rsidDel="00000000">
              <w:rPr>
                <w:i w:val="1"/>
                <w:rtl w:val="0"/>
              </w:rPr>
              <w:t xml:space="preserve">euro</w:t>
            </w:r>
            <w:r w:rsidR="00000000" w:rsidRPr="00000000" w:rsidDel="00000000">
              <w:rPr>
                <w:rtl w:val="0"/>
              </w:rPr>
              <w:t xml:space="preserve">) ir iekļauts arī 6.1.1. specifiskā atbalsta mērķa "Pārejas uz klimatneitralitāti radīto ekonomisko, sociālo un vides seku mazināšana visvairāk skartajos reģionos" 6.1.1.6. pasākuma "Bezemisiju transportlīdzekļu izmantošanas veicināšana pašvaldībās"  Taisnīgas pārkārtošanās fonda finansējuma ietaupījums 14 699 218 </w:t>
            </w:r>
            <w:r w:rsidR="00000000" w:rsidRPr="00000000" w:rsidDel="00000000">
              <w:rPr>
                <w:i w:val="1"/>
                <w:rtl w:val="0"/>
              </w:rPr>
              <w:t xml:space="preserve">euro</w:t>
            </w:r>
            <w:r w:rsidR="00000000" w:rsidRPr="00000000" w:rsidDel="00000000">
              <w:rPr>
                <w:rtl w:val="0"/>
              </w:rPr>
              <w:t xml:space="preserve"> apmērā un MK protokollēmuma projekta 3. punkts jau šobrīd paredz, ka par šo finansējumu slēgt ar finansējuma saņēmējiem vienošanās vai līgumus par projektu īstenošanu var tikai pēc pozitīva Eiropas Komisijas lēmuma saņemšanas par grozījumiem Eiropas Savienības kohēzijas politikas programmā 2021.–2027. gadam, jauns punkts MK protokollēmuma projektā netiek 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protokollēmuma projekta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Eiropas Savienības kohēzijas politikas programmā 2021.-2027. gadam rosinātās finansējuma pārdales, atļaut Centrālajai finanšu un līgumu aģentūrai, pirms pozitīva Eiropas Komisijas lēmuma saņemšanas par grozījumiem Eiropas Savienības kohēzijas politikas programmā 2021.–2027. gadam, izsludināt projektu iesniegumu atlasi par Ministru kabineta 2023. gada 17. 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15.2.2. apakšpunktā noteikto Taisnīgas pārkārtošanās fonda finansējumu (17 935 905 </w:t>
            </w:r>
            <w:r w:rsidR="00000000" w:rsidRPr="00000000" w:rsidDel="00000000">
              <w:rPr>
                <w:i w:val="1"/>
                <w:rtl w:val="0"/>
              </w:rPr>
              <w:t xml:space="preserve">euro)</w:t>
            </w:r>
            <w:r w:rsidR="00000000" w:rsidRPr="00000000" w:rsidDel="00000000">
              <w:rPr>
                <w:rtl w:val="0"/>
              </w:rPr>
              <w:t xml:space="preserve">, veikt iesniegto projektu iesniegumu vērtēšanu un apstiprināšanu, un pēc pozitīva Eiropas Komisijas lēmuma saņemšanas par grozījumiem Eiropas Savienības kohēzijas politikas programmā 2021.–2027. gadam, slēgt ar finansējuma saņēmējiem vienošanās vai līgumus par projektu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noteikumu projektā rosinātajām Eiropas Savienības fondu finansējuma pārdalēm, neveikt grozījumus Ministru kabineta 2024. gada 23. janvāra noteikumos Nr. 65 "Eiropas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īstenošanas noteikumi", lai samazinātu Taisnīgas pārkārtošanās fonda finansējumu par 14 699 218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4.punktu, ar kuru paredzēta atļauja neveikt grozījumus Ministru kabineta noteikumos par 6.1.1.6.pasākuma "Bezemisiju transportlīdzekļu izmantošanas veicināšana pašvaldībās" īstenošanu, papildināt ar informāciju, kāds ir 6.1.1.6.pasākuma "Bezemisiju transportlīdzekļu izmantošanas veicināšana pašvaldībās" ietvaros precizētais kopējais attiecināmais finansējums, tai skaitā TPF finansējums un nacionālais finansējums (pašvaldību finansējums), ievērojot finansējuma pārdali uz 6.1.1.3.pasākumu "Atbalsts uzņēmējdarbībai nepieciešamās publiskās infrastruktūras attīstībai, veicinot pāreju uz klimatneitrālu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sēdes protokollēmuma projekta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neveikt grozījumus Ministru kabineta 2024. gada 23. janvāra noteikumos Nr. 65 "Eiropas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īstenošanas noteikumi", lai samazinātu Taisnīgas pārkārtošanās fonda finansējumu par 14 699 218 </w:t>
            </w:r>
            <w:r w:rsidR="00000000" w:rsidRPr="00000000" w:rsidDel="00000000">
              <w:rPr>
                <w:i w:val="1"/>
                <w:rtl w:val="0"/>
              </w:rPr>
              <w:t xml:space="preserve">euro</w:t>
            </w:r>
            <w:r w:rsidR="00000000" w:rsidRPr="00000000" w:rsidDel="00000000">
              <w:rPr>
                <w:rtl w:val="0"/>
              </w:rPr>
              <w:t xml:space="preserve">, kas tiek pārdalīts  6.1.1. specifiskā atbalsta mērķa "Pārejas uz klimatneitralitāti radīto ekonomisko, sociālo un vides seku mazināšana visvairāk skartajos reģionos" 6.1.1.3. pasākumam "Atbalsts uzņēmējdarbībai nepieciešamās publiskās infrastruktūras attīstībai, veicinot pāreju uz klimatneitrālu ekonomiku". Turpmāk 6.1.1. specifiskā atbalsta mērķa "Pārejas uz klimatneitralitāti radīto ekonomisko, sociālo un vides seku mazināšana visvairāk skartajos reģionos" 6.1.1.6. pasākuma "Bezemisiju transportlīdzekļu izmantošanas veicināšana pašvaldībās" īstenošanas noteikumi" kopējais finansējums ir 7 623 639 </w:t>
            </w:r>
            <w:r w:rsidR="00000000" w:rsidRPr="00000000" w:rsidDel="00000000">
              <w:rPr>
                <w:i w:val="1"/>
                <w:rtl w:val="0"/>
              </w:rPr>
              <w:t xml:space="preserve">euro</w:t>
            </w:r>
            <w:r w:rsidR="00000000" w:rsidRPr="00000000" w:rsidDel="00000000">
              <w:rPr>
                <w:rtl w:val="0"/>
              </w:rPr>
              <w:t xml:space="preserve">, tai skaitā Taisnīgas pārkārtošanās fonda finansējums – 6 480 093 </w:t>
            </w:r>
            <w:r w:rsidR="00000000" w:rsidRPr="00000000" w:rsidDel="00000000">
              <w:rPr>
                <w:i w:val="1"/>
                <w:rtl w:val="0"/>
              </w:rPr>
              <w:t xml:space="preserve">euro</w:t>
            </w:r>
            <w:r w:rsidR="00000000" w:rsidRPr="00000000" w:rsidDel="00000000">
              <w:rPr>
                <w:rtl w:val="0"/>
              </w:rPr>
              <w:t xml:space="preserve"> un nacionālais finansējums (pašvaldību finansējums) – 1 143 546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kopējais finansējums ir 75 269 409 </w:t>
            </w:r>
            <w:r w:rsidR="00000000" w:rsidRPr="00000000" w:rsidDel="00000000">
              <w:rPr>
                <w:i w:val="1"/>
                <w:rtl w:val="0"/>
              </w:rPr>
              <w:t xml:space="preserve">euro</w:t>
            </w:r>
            <w:r w:rsidR="00000000" w:rsidRPr="00000000" w:rsidDel="00000000">
              <w:rPr>
                <w:rtl w:val="0"/>
              </w:rPr>
              <w:t xml:space="preserve"> (tai skaitā elastības finansējuma apmērs 21 101 065 </w:t>
            </w:r>
            <w:r w:rsidR="00000000" w:rsidRPr="00000000" w:rsidDel="00000000">
              <w:rPr>
                <w:i w:val="1"/>
                <w:rtl w:val="0"/>
              </w:rPr>
              <w:t xml:space="preserve">euro</w:t>
            </w:r>
            <w:r w:rsidR="00000000" w:rsidRPr="00000000" w:rsidDel="00000000">
              <w:rPr>
                <w:rtl w:val="0"/>
              </w:rPr>
              <w:t xml:space="preserve">), ko veido Taisnīgas pārkārtošanās fonda finansējums 63 978 997 </w:t>
            </w:r>
            <w:r w:rsidR="00000000" w:rsidRPr="00000000" w:rsidDel="00000000">
              <w:rPr>
                <w:i w:val="1"/>
                <w:rtl w:val="0"/>
              </w:rPr>
              <w:t xml:space="preserve">euro</w:t>
            </w:r>
            <w:r w:rsidR="00000000" w:rsidRPr="00000000" w:rsidDel="00000000">
              <w:rPr>
                <w:rtl w:val="0"/>
              </w:rPr>
              <w:t xml:space="preserve"> (tai skaitā elastības finansējuma apmērs 17 935 905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 kā 11 290 412 </w:t>
            </w:r>
            <w:r w:rsidR="00000000" w:rsidRPr="00000000" w:rsidDel="00000000">
              <w:rPr>
                <w:i w:val="1"/>
                <w:rtl w:val="0"/>
              </w:rPr>
              <w:t xml:space="preserve">euro</w:t>
            </w:r>
            <w:r w:rsidR="00000000" w:rsidRPr="00000000" w:rsidDel="00000000">
              <w:rPr>
                <w:rtl w:val="0"/>
              </w:rPr>
              <w:t xml:space="preserve"> (tai skaitā elastības finansējuma apmērs 3 165 160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593 14. punkta, 15.2. apakšpunkta un 15.2.2. apakšpunkta redakciju, norādot visu finansējumu kā pieejamo, ņemot vērā, ka ar MK protokollēmuma 3.punktā paredzēts atļaut uzņemties saistības par elastības finansējumu pirms pozitīva Eiropas Komisijas lēmuma par Programmas vidusposma grozījumiem, attiecīgi elastības finansējuma atrunāšanai šajos punktos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sēdes protokollēmuma projekta 3. punkts neparedz atļaut uzņemties saistības par elastības finansējumu (Taisnīgas pārkārtošanās fonda finansējumu (17 935 905 </w:t>
            </w:r>
            <w:r w:rsidR="00000000" w:rsidRPr="00000000" w:rsidDel="00000000">
              <w:rPr>
                <w:i w:val="1"/>
                <w:rtl w:val="0"/>
              </w:rPr>
              <w:t xml:space="preserve">euro</w:t>
            </w:r>
            <w:r w:rsidR="00000000" w:rsidRPr="00000000" w:rsidDel="00000000">
              <w:rPr>
                <w:rtl w:val="0"/>
              </w:rPr>
              <w:t xml:space="preserve">) pirms pozitīva Eiropas Komisijas lēmuma par Programmas vidusposma grozījumiem. Tas paredz atļaut Centrālajai finanšu un līgumu aģentūrai par šo finansējumu (17 935 905 </w:t>
            </w:r>
            <w:r w:rsidR="00000000" w:rsidRPr="00000000" w:rsidDel="00000000">
              <w:rPr>
                <w:i w:val="1"/>
                <w:rtl w:val="0"/>
              </w:rPr>
              <w:t xml:space="preserve">euro</w:t>
            </w:r>
            <w:r w:rsidR="00000000" w:rsidRPr="00000000" w:rsidDel="00000000">
              <w:rPr>
                <w:rtl w:val="0"/>
              </w:rPr>
              <w:t xml:space="preserve">) izsludināt projektu iesniegumu atlasi, veikt iesniegto projektu iesniegumu vērtēšanu un apstiprināšanu un tikai pēc pozitīva Eiropas komisijas lēmuma saņemšanas par grozījumiem Eiropas Savienības kohēzijas politikas programmā 2021.–2027. gadam slēgt ar finansējuma saņēmējiem vienošanās vai līgumus par projektu īstenošanu. Attiecīgi MK noteikumu Nr. 55 14. punkta, 15.2. apakšpunkta un 15.2.2. apakšpunkta redakcijā viss finansējums netiek noradīts kā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kopējais finansējums ir 75 077 473 </w:t>
            </w:r>
            <w:r w:rsidR="00000000" w:rsidRPr="00000000" w:rsidDel="00000000">
              <w:rPr>
                <w:i w:val="1"/>
                <w:rtl w:val="0"/>
              </w:rPr>
              <w:t xml:space="preserve">euro</w:t>
            </w:r>
            <w:r w:rsidR="00000000" w:rsidRPr="00000000" w:rsidDel="00000000">
              <w:rPr>
                <w:rtl w:val="0"/>
              </w:rPr>
              <w:t xml:space="preserve">, ko veido Taisnīgas pārkārtošanās fonda finansējums 63 978 997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 kā 11 098 476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otrās atlases kārtas izsludināšanas, neizmantoto pirmās atlases kārtas Taisnīgas pārkārtošanās fonda finansējumu un finansējumu, kas atbrīvojies pirmās un otrās atlases kārtas projektu īstenošanas rezultātā un par kuru sadarbības iestādē netiek iesniegti projekti šo noteikumu </w:t>
            </w:r>
            <w:r w:rsidR="00000000" w:rsidRPr="00000000" w:rsidDel="00000000">
              <w:rPr>
                <w:rtl w:val="0"/>
              </w:rPr>
              <w:t xml:space="preserve">15.2.1.</w:t>
            </w:r>
            <w:r w:rsidR="00000000" w:rsidRPr="00000000" w:rsidDel="00000000">
              <w:rPr>
                <w:rtl w:val="0"/>
              </w:rPr>
              <w:t xml:space="preserve"> apakšpunktā minētajā kārtībā, novirza otrajai atlases kārtai šo noteikumu </w:t>
            </w:r>
            <w:r w:rsidR="00000000" w:rsidRPr="00000000" w:rsidDel="00000000">
              <w:rPr>
                <w:rtl w:val="0"/>
              </w:rPr>
              <w:t xml:space="preserve">15.2.2. </w:t>
            </w:r>
            <w:r w:rsidR="00000000" w:rsidRPr="00000000" w:rsidDel="00000000">
              <w:rPr>
                <w:rtl w:val="0"/>
              </w:rPr>
              <w:t xml:space="preserve">apakšpunktā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punktā izteikto MK noteikumu Nr. 593 17. punktu, ņemot vērā to, ka MK noteikumu Nr. 593 15.2.1. un 15.2.2. punktā ir paredzēts finansējuma sadalījums, nevis finansējuma piešķiršanas kārtība, kā arī, lai nodrošinātu regulējuma viennozīmīgu interpretāciju attiecībā uz otro atlases kārtu. Vienlaikus, ņemot vērā anotācijas 1.3.sadaļā sniegto informāciju, ka atlases kārtas tiek izsludinātas pa daļām, jeb uzsaukumiem, lai nodrošinātu viennozīmīgu skaidrību normas piemērotājiem, lūdzam izvērtēt iespēju atrunāt MK noteikumos Nr. 593, ka otro kārtu plānots organizēt divos uzsaukumos un ka MK noteikumu Nr. 593 15.2.2.punktā plānotais finansējums tiek paredzēts otrās kārtas otrajam uzsaukumam.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Taisnīgas pārkārtošanās fonda finansējumu, par kuru sadarbības iestādē otrās atlases kārtas ietvaros netiek iesniegti projekti šo noteikumu 15.2.1. apakšpunktā minētajā finansējuma apmērā,</w:t>
            </w:r>
            <w:r w:rsidR="00000000" w:rsidRPr="00000000" w:rsidDel="00000000">
              <w:rPr>
                <w:rtl w:val="0"/>
              </w:rPr>
              <w:t xml:space="preserve"> neizmantoto pirmās atlases kārtas Taisnīgas pārkārtošanās fonda finansējumu </w:t>
            </w:r>
            <w:r w:rsidR="00000000" w:rsidRPr="00000000" w:rsidDel="00000000">
              <w:rPr>
                <w:b w:val="1"/>
                <w:rtl w:val="0"/>
              </w:rPr>
              <w:t xml:space="preserve">un to Taisnīgas pārkārtošanās fonda finansējumu,</w:t>
            </w:r>
            <w:r w:rsidR="00000000" w:rsidRPr="00000000" w:rsidDel="00000000">
              <w:rPr>
                <w:rtl w:val="0"/>
              </w:rPr>
              <w:t xml:space="preserve"> kas atbrīvojies pirmās un otrās atlases kārtas projektu īstenošanas rezultātā, novirza otrajai atlases kārtai </w:t>
            </w:r>
            <w:r w:rsidR="00000000" w:rsidRPr="00000000" w:rsidDel="00000000">
              <w:rPr>
                <w:b w:val="1"/>
                <w:rtl w:val="0"/>
              </w:rPr>
              <w:t xml:space="preserve">atbilstoši </w:t>
            </w:r>
            <w:r w:rsidR="00000000" w:rsidRPr="00000000" w:rsidDel="00000000">
              <w:rPr>
                <w:rtl w:val="0"/>
              </w:rPr>
              <w:t xml:space="preserve">šo noteikumu 15.2.2. apakšpunkt</w:t>
            </w:r>
            <w:r w:rsidR="00000000" w:rsidRPr="00000000" w:rsidDel="00000000">
              <w:rPr>
                <w:b w:val="1"/>
                <w:rtl w:val="0"/>
              </w:rPr>
              <w:t xml:space="preserve">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6.1.1.3. pasākuma otrās kārtas atlasi nav plānots izsludināt pa daļām jeb uzsaukumiem, bet sākotnēji tā tiks izsludina par visu 6.1.1.3. pasākuma otrajai kārtai plānoto TPF finansējuma apmēru, t.i., 21 602 496 </w:t>
            </w:r>
            <w:r w:rsidR="00000000" w:rsidRPr="00000000" w:rsidDel="00000000">
              <w:rPr>
                <w:i w:val="1"/>
                <w:rtl w:val="0"/>
              </w:rPr>
              <w:t xml:space="preserve">euro</w:t>
            </w:r>
            <w:r w:rsidR="00000000" w:rsidRPr="00000000" w:rsidDel="00000000">
              <w:rPr>
                <w:rtl w:val="0"/>
              </w:rPr>
              <w:t xml:space="preserve">. Ja ar pirmo uzsaukumu netiks iesniegti projektu iesniegumi par visu plānoto TPF finansējuma apmēru (21 602 496 </w:t>
            </w:r>
            <w:r w:rsidR="00000000" w:rsidRPr="00000000" w:rsidDel="00000000">
              <w:rPr>
                <w:i w:val="1"/>
                <w:rtl w:val="0"/>
              </w:rPr>
              <w:t xml:space="preserve">euro</w:t>
            </w:r>
            <w:r w:rsidR="00000000" w:rsidRPr="00000000" w:rsidDel="00000000">
              <w:rPr>
                <w:rtl w:val="0"/>
              </w:rPr>
              <w:t xml:space="preserve">), tikai tad tiks vērtēta iespēja un nepieciešamība izsludināt otro uzsaukumu. Atlases process un kārtība tiks fiksēta 6.1.1.3. pasākuma otrās kārtas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Taisnīgas pārkārtošanās fonda finansējumu, par kuru sadarbības iestādē otrās atlases kārtas ietvaros netiek iesniegti projekti šo noteikumu </w:t>
            </w:r>
            <w:r w:rsidR="00000000" w:rsidRPr="00000000" w:rsidDel="00000000">
              <w:rPr>
                <w:rtl w:val="0"/>
              </w:rPr>
              <w:t xml:space="preserve">15.2.1.</w:t>
            </w:r>
            <w:r w:rsidR="00000000" w:rsidRPr="00000000" w:rsidDel="00000000">
              <w:rPr>
                <w:rtl w:val="0"/>
              </w:rPr>
              <w:t xml:space="preserve"> apakšpunktā minētā finansējuma apmērā, neizmantoto pirmās un otrās atlases kārtas Taisnīgas pārkārtošanās fonda finansējumu un to Taisnīgas pārkārtošanās fonda finansējumu, kas atbrīvojies pirmās un otrās atlases kārtas projektu īstenošanas rezultātā, novirza otrajai atlases kārtai atbilstoši šo noteikumu </w:t>
            </w:r>
            <w:r w:rsidR="00000000" w:rsidRPr="00000000" w:rsidDel="00000000">
              <w:rPr>
                <w:rtl w:val="0"/>
              </w:rPr>
              <w:t xml:space="preserve">15.2.2.</w:t>
            </w:r>
            <w:r w:rsidR="00000000" w:rsidRPr="00000000" w:rsidDel="00000000">
              <w:rPr>
                <w:rtl w:val="0"/>
              </w:rPr>
              <w:t xml:space="preserve">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iesnieguma maksimālais Taisnīgas pārkārtošanās fonda finansējuma apmērs ir 85 procenti no projekta iesnieguma attiecināmo izmaksu summas, izņemot, ja šo noteikumu </w:t>
            </w:r>
            <w:r w:rsidR="00000000" w:rsidRPr="00000000" w:rsidDel="00000000">
              <w:rPr>
                <w:rtl w:val="0"/>
              </w:rPr>
              <w:t xml:space="preserve">32.9.1. </w:t>
            </w:r>
            <w:r w:rsidR="00000000" w:rsidRPr="00000000" w:rsidDel="00000000">
              <w:rPr>
                <w:rtl w:val="0"/>
              </w:rPr>
              <w:t xml:space="preserve">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tiek piešķirts šo noteikumu </w:t>
            </w:r>
            <w:r w:rsidR="00000000" w:rsidRPr="00000000" w:rsidDel="00000000">
              <w:rPr>
                <w:rtl w:val="0"/>
              </w:rPr>
              <w:t xml:space="preserve">50. </w:t>
            </w:r>
            <w:r w:rsidR="00000000" w:rsidRPr="00000000" w:rsidDel="00000000">
              <w:rPr>
                <w:rtl w:val="0"/>
              </w:rPr>
              <w:t xml:space="preserve">punktā minētais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atšķirības un pierobežas izaicinājumi.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Austrumu pierobežas pašvaldībās ir būtiski nelabvēlīgāki sociālekonomiskie apstākļi nekā vidēji valstī: zems uzņēmējdarbības blīvums, iedzīvotāju aizplūšana, sarežģīta demogrāfiskā situācija un ierobežotas iespējas piesaistīt privātas investīcijas. Līdz ar to prasība nodrošināt līdzfinansējumu 15 % apmērā būtiski apgrūtina projektu īstenošanu. Palielinot finansējuma intensitāti līdz 95 %, tiek radīti priekšnosacījumi pierobežas pašvaldībām aktīvi iesaistīties Taisnīgas pārkārtošanās fonda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Taisnīgas pārkārtošanās fonda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būtība ir mazināt teritoriālās un sociālās sekas, kas rodas pārejā uz klimatneitrālu ekonomiku. Austrumu pierobežas reģionos negatīvā ietekme ir īpaši izteikta – gan ekonomikas struktūras, gan iedzīvotāju noturības ziņā. Augstāks līdzfinansējuma procents palīdzētu nodrošināt, ka šie reģioni netiek atstāti novārtā un spēj izmantot fonda sniegtās iespējas pilnvērtīgi.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un ģeopolitiskie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 ir arī ES ārējā robeža, kurai ir stratēģiska nozīme valsts un Eiropas drošības kontekstā. Investīcijas uzņēmējdarbības infrastruktūrā, ko iespējams īstenot ar augstāku līdzfinansējumu, stiprinātu vietējo sabiedrību, noturību un iedzīvotāju dzīves kvalitāti, kas tieši korelē ar drošības politikas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finanšu līdzekļu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līdzfinansējuma līmenis pierobežas pašvaldībām samazina risku, ka projekti netiks īstenoti finanšu trūkuma dēļ, tādējādi nodrošinot jēgpilnu ES fondu līdzekļu apguvi. Vienlaikus redakcija precizē izņēmuma gadījumus – ja tiek piemērots de minimis atbalsts vai citi noteikumos paredzētie atbalsta mehānismi –, lai saglabātu konsekvenci un atbilstību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veicinās: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aktivitāti un investīciju pieplūdumu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darba vietu radīšanu un iedzīvotāju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un teritoriālās nevienlīdzības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klimatneitrālas ekonomikas mērķu sasniegšanu, vienlaikus nodrošinot sociālo taisnīgumu.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iesnieguma maksimālais Taisnīgās pārkārtošanās fonda finansējuma apmērs ir 85 procenti no projekta iesnieguma attiecināmo izmaksu summas, izņemot Latvijas Austrumu pierobežas pašvaldības, kurām Taisnīgas pārkārtošanās fonda finansējuma apmērs ir 95 procentus no projekta iesnieguma attiecināmo izmaksu summas, un izņemot, ja šo noteikumu 32.9.1. apakšpunktā minēto izmaksu finansēšanai tiek piešķirts de minimis atbalsts vai tiek piešķirts  šo noteikumu 50. punktā minētais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6.1.1.3. pasākuma otrajā atlases kārtā TPF finansējuma apmērs var būt 90 procenti no projekta iesnieguma attiecināmo izmaksu kopsummas, ja uz projekta iesniedzēju un šī projekta sadarbības partneri, ja tāds projektā paredzēts (izņemot MK noteikumu Nr. 593  23.1.apakšpunktā minēto sadarbības partneri), ir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 t.i., visas Latgales plānošanas reģiona pašvaldības un Alūksnes novada pašvaldība, kurai ir robeža ar Krieviju.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Pirmajā un otrajā atlases kārtā šo noteikumu </w:t>
            </w:r>
            <w:r w:rsidR="00000000" w:rsidRPr="00000000" w:rsidDel="00000000">
              <w:rPr>
                <w:rtl w:val="0"/>
              </w:rPr>
              <w:t xml:space="preserve">22.</w:t>
            </w:r>
            <w:r w:rsidR="00000000" w:rsidRPr="00000000" w:rsidDel="00000000">
              <w:rPr>
                <w:rtl w:val="0"/>
              </w:rPr>
              <w:t xml:space="preserve"> punktā minētajam projekta iesniedzējam un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minētajam sadarbības partnerim, uz kuru nav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 (turpmāk – Latvijas Austrumu pierobežas plāns), projekta iesnieguma maksimālais Taisnīgas pārkārtošanās fonda finansējuma apmērs nepārsniedz 85 procentus no projekta iesnieguma attiecināmo izmaksu summas, izņemot, ja šo 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tiek piešķirts šo noteikumu </w:t>
            </w:r>
            <w:r w:rsidR="00000000" w:rsidRPr="00000000" w:rsidDel="00000000">
              <w:rPr>
                <w:rtl w:val="0"/>
              </w:rPr>
              <w:t xml:space="preserve">50.</w:t>
            </w:r>
            <w:r w:rsidR="00000000" w:rsidRPr="00000000" w:rsidDel="00000000">
              <w:rPr>
                <w:rtl w:val="0"/>
              </w:rPr>
              <w:t xml:space="preserve"> punktā minētais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uzņēmējdarbības mērķiem paredzēto ēku un to saistītās infrastruktūras attīstīšana, izņemot ēkas, kurās paredzēta izmitināšana (NACE 2. red. I sadaļa 55. nodaļa), fiziskās labsajūtas uzlabošana (NACE 2. red. S sadaļa 96.04. klase), sporta nodarbības, izklaides un atpūtas darbība (NACE 2. red. R sadaļa 93. nodaļa) un izglītības pakalpojumi (NACE 2. red. P sadaļa), bet no 2025. gada 1. janvāra – uzņēmējdarbības mērķiem paredzēto ēku un to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anotācijas mērķim (25-TA-1905).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skaidri norādīts, ka grozījumu mērķis ir samazināt administratīvo slogu, vienkāršot prasības projektu dokumentācijai un attiecināmajām izmaksām. Esošais 30.3. punkts ar vairākiem izņēmumiem (labsajūta, sports, izklaide, izglītība) rada sarežģītu interpretācijas praksi un palielina administratīvo slogu projektu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situācija un ģeopolitiskie izaicinājumi.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pierobežas pašvaldībām, tostarp Alūksnes novadam, ir īpaši sarežģīti ekonomiskie apstākļi – iedzīvotāju skaita samazināšanās, ierobežotas investīciju piesaistes iespējas un augstāks drošības risks. Plašākas iespējas atbalstīt uzņēmējdarbības infrastruktūras projektus bez liekiem ierobežojumiem stimulētu ekonomisko aktivitāti, radītu darba vietas un veicinātu iedzīvotāju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Jēgpilna ES fondu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izņēmumu svītrošana ļautu pašvaldībām elastīgāk izmantot pieejamos Kohēzijas politikas līdzekļus, nodrošinot, ka finansējums tiek izmantots atbilstoši vietējām vajadzībām un ekonomikas attīstības prioritātēm. Tas samazinātu risku, ka pieejamais finansējums netiek pilnvērtīgi izmantots pārlieku ierobežojošu noteikumu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Atļaujot plašāku atbalstāmo nozaru loku uzņēmējdarbības infrastruktūras attīstībai, tiek veicināta ilgtspējīga pašvaldību teritoriju attīstība – radīta vai pielāgota infrastruktūra, kas kalpo dažādu nozaru uzņēmumiem, nodrošina jaunas darba vietas un stiprina vietējo ekonomiku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prakses vienkāršošana.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 “uzņēmējdarbības mērķiem paredzēto ēku un to saistītās infrastruktūras attīstīšana, izņemot ēkas, kurās paredzēta izmitināšana (NACE I sadaļa 55. nodaļa)” – nodrošina vienkāršu, skaidri izprotamu nosacījumu, samazinot interpretācijas riskus un atvieglojot projektu sagatavošanu un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uzņēmējdarbības mērķiem paredzēto ēku un to saistītās infrastruktūras attīstīšana, izņemot ēkas, kurās paredzēta izmitināšana (NACE I sadaļa 55.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noteikuma projekta </w:t>
            </w:r>
            <w:r w:rsidR="00000000" w:rsidRPr="00000000" w:rsidDel="00000000">
              <w:rPr>
                <w:b w:val="1"/>
                <w:rtl w:val="0"/>
              </w:rPr>
              <w:t xml:space="preserve">galvenais mērķis ir veikt ES fondu finansējuma pārdali atbilstoši Programmas vidusposma grozījumiem, vienlaikus nosakot </w:t>
            </w:r>
            <w:r w:rsidR="00000000" w:rsidRPr="00000000" w:rsidDel="00000000">
              <w:rPr>
                <w:rtl w:val="0"/>
              </w:rPr>
              <w:t xml:space="preserve">6.1.1.3. pasākuma finansējuma saņēmējiem</w:t>
            </w:r>
            <w:r w:rsidR="00000000" w:rsidRPr="00000000" w:rsidDel="00000000">
              <w:rPr>
                <w:b w:val="1"/>
                <w:rtl w:val="0"/>
              </w:rPr>
              <w:t xml:space="preserve"> labvēlīgākas prasības attiecībā uz projektā sasniedzamajām rādītāju minimālajām vērtībām 6.1.1.3. pasākuma otrajā atlases kārtā</w:t>
            </w:r>
            <w:r w:rsidR="00000000" w:rsidRPr="00000000" w:rsidDel="00000000">
              <w:rPr>
                <w:rtl w:val="0"/>
              </w:rPr>
              <w:t xml:space="preserve">, kā arī administratīvā sloga mazināšanas nolūkā tiek samazināti ierobežojumi projektu dokumentācijai un projektos paredzamajām attiecināmajām izmaksām. </w:t>
            </w:r>
            <w:r w:rsidR="00000000" w:rsidRPr="00000000" w:rsidDel="00000000">
              <w:rPr>
                <w:b w:val="1"/>
                <w:rtl w:val="0"/>
              </w:rPr>
              <w:t xml:space="preserve">MK noteikuma projekta mērķis nav paplašināt  valsts atbalsta komercdarbībai tvērumu.</w:t>
            </w:r>
            <w:r w:rsidR="00000000" w:rsidRPr="00000000" w:rsidDel="00000000">
              <w:rPr>
                <w:rtl w:val="0"/>
              </w:rPr>
              <w:t xml:space="preserve"> Lai atbalstītu izteikto priekšlikumu, ka  no MK noteikumu 30.3. apakšpunkta tiek svītrotas saimnieciskās darbības nozares (sporta nodarbības, izklaides un atpūtas darbība (NACE 2.1. red. S sadaļas 93. nodaļa) un izglītības pakalpojumi (NACE 2.1. red. Q sadaļa)), kurās netiek atbalstīta ēku un ar tām saistītās infrastruktūras attīstīšana 6.1.1.3. pasākuma ietvaros, būtu jāpaplašina valsts atbalsta komercdarbības tvērums, t.sk., tas jāskaņo ar Eiropas Komisiju, attiecīgi veicot grozījumus Eiropas Savienības kohēzijas politikas programmā 2021.–2027. gadam. Norādām, ka uz iepriekš minētajām nozarēm nevar piemērot Eiropas Komisijas 2014. gada 17. jūnija Regulas (ES) Nr. 651/2014, ar ko noteiktas atbalsta kategorijas atzīst par saderīgām ar iekšējo tirgu, piemērojot Līguma 107. un 108. pantu (turpmāk – regula Nr. 651/2014) 56. panta "Ieguldījumu atbalsts vietējai infrastruktūrai" regulējumu, jo uz tām ir attiecināms Regulas Nr. 651/2014 55. panta "Atbalsts sporta un daudzfunkcionālai atpūtas infrastruktūrai"  regulējums, kurš nav  plānots 6.1.1.3. pasākuma konceptā, jo neatbilst sasniedzamo konkrēto mērķu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uzņēmējdarbības mērķiem paredzēto ēku un to saistītās infrastruktūras attīstīšana, izņemot ēkas, kurās paredzēta izmitināšana (NACE 2. red. I sadaļa 55. nodaļa), fiziskās labsajūtas uzlabošana (NACE 2. red. S sadaļa 96.04. klase), sporta nodarbības, izklaides un atpūtas darbība (NACE 2. red. R sadaļa 93. nodaļa) un izglītības pakalpojumi (NACE 2. red. P sadaļa), bet no 2025. gada 1. janvāra – uzņēmējdarbības mērķiem paredzēto ēku un to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publiska persona – publiskas personas īpašumā vai valdījumā esošā īpašumā, ja valdījuma tiesības ir iegūtas uz termiņu, kas nav īsāks par pieciem gadiem no dienas, kad veikts projekta noslēguma maksājums finansējuma saņēmējam.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piemēroto pieeju administratīvā sloga mazināšanā attiecībā uz pašvaldību ieguldījumu citu publisku personu īpašumā (pašvaldībai nenostiprinot valdījuma tiesības, piemēram, uz valstij piederošu zemi), ierosinām aiz vārdiem "publiska persona-" papildināt ar vārdiem "savā vai citas", atbilstoši papildinot Ministru kabineta noteikumu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publiska persona – savā vai citas publiskas personas īpašumā vai valdījumā esošā īpašumā, ja valdījuma tiesības ir iegūtas uz termiņu, kas nav īsāks par pieciem gadiem no dienas, kad veikts projekta noslēguma maksājums finansējuma saņēmējam. Ja plānots piemērot regulas Nr. 651/2014 ​​​​41. pantā paredzēto atbalstu, ievēro šo noteikumu 53.1. apakšpunktā minētos nosacījumus. Ja plānots piemērot regulas Nr. 651/2014 45. pantā paredzēto atbalstu, ievēro šo noteikumu 54.1. apakšpunktā minētos nosacījumus. Ja plānots piemērot regulas Nr. 651/2014 56. pantā paredzēto atbalstu, ievēro šo noteikumu 55.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publiska persona – savā vai citas publiskas personas īpašumā vai valdījumā esošā īpašumā, ja valdījuma tiesības ir iegūtas uz termiņu, kas nav īsāks par pieciem gadiem no dienas, kad veikts projekta noslēguma maksājums finansējuma saņēmējam, un par projekta ieguldījumiem citas publiskas personas īpašumā vai valdījumā esošā īpašumā ir savstarpēja vienošanās.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MK noteikumu 36.punkta redakciju, piemēram, dzēšot vārdu "zemesgrāmatās". Savukārt precīzākam juridiskam skaidrojumam aicinām MK noteikumu anotācijā papildināt par tiesību nostiprināšanu veikt ieguldījumus, piemēram, īpašuma tiesību nostiprināšana zemesgrāmatā, satiksmes infrastruktūras -inženierbūves kā   zemes īpašuma apgrūtinājuma reģistrēšana normatīvajos aktos noteiktajā kārtībā utt. Skaidrojam,  ka gadījumos, kad satiksmes infrastruktūra kā inženierbūve (piemēram, publiska pašvaldības iela, ceļš, gājēju un velo ceļi) atrodas uz  privātpersonas īpašumā esošas zemes,  šāda inženierbūve ir  kā apgrūtinājums reģistrējama normatīvo aktu kārtībā Valsts kadastra informācijas sistēmā (bet ne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vārdu “zemesgrāmatās” nav nepieciešams svītrot, jo MK noteikumu Nr. 55 40. punkts nosaka prasību turējuma un valdījuma tiesību nostiprināt zemesgrāmatās. Vienlaikus MK noteikumu Nr. 55 40. punkts un  noteikumu projekta anotācija ir papildināta ar Finanšu ministrijas priekšlikumā ietverto par apgrūtinājumu reģistrēšanu normatīvo aktu kārtībā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izpratnes nodrošināšanai MK noteikumu Nr. 55 40. punktā lietotais termins “zemes īpašums” izteikts kā “nekustamais īpašums”, ņemot vērā, ka tiesība veikt ieguldījumus īpašumā 5.1.1.1. pasākuma ietvaros ir attiecināma gan uz ieguldījumiem zemes īpašumā, gan ēku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iesniedzēja un sadarbības partnera tiesības veikt ieguldījumus nekustamajā īpašumā nostiprina zemesgrāmatās līdz projekta noslēguma maksājuma veikšanai (izņemot gadījumu, ja pašvaldības īpašums uz normatīvā akta, līguma vai pašvaldības lēmuma pamata ir nodots pašvaldības iestādes – projekta iesniedzēja – pārvaldīšanā) vai reģistrē zemes īpašuma apgrūtinājumu normatīvajos aktos noteiktajā kārtībā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1. panta 4. punkta "a" apakšpunkta nosacījumi, ka atbalsts netiek sniegts saņēmējam, uz kuru attiecas līdzekļu atgūšanas rīkojums saskaņā ar iepriekšēju Komisijas lēmumu, ar ko atbalsts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Komisijas Komisijas 2014. gada 17. jūnija Regulas Nr.651/2014, ar ko noteiktas atbalsta kategorijas atzīst par saderīgām ar iekšējo tirgu, piemērojot Līguma 107. un 108. pantu (turpmāk – Komisijas regula Nr. 651/2014), 1.panta 4.punkta, 2.panta 18.punkta un 4.panta 1.punktā paredzētās robežvērtības, kas attiecas uz uzņēmumu, ir jāvērtē/jāpiemēro uzņēmuma grupas līmenī (Komisijas regulas Nr.651/2014 angliskajā versijā nosacījumi, kas ir attiecināmi uz ‘undertaking’, ir jāpārbauda/jāpiemēro uzņēmuma grupas līmenī). Lūdzam attiecīgi precizēt MK noteikumu Nr. 593 58.3.-58.5. apakšpunktus un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noteikuma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1. panta 4. punkta "a" apakšpunkta nosacījumi, ka atbalsts netiek sniegts saņēmējam uzņēmuma grupas līmenī, uz kuru attiecas līdzekļu atgūšanas rīkojums saskaņā ar iepriekšēju Komisijas lēmumu, ar ko atbalsts tiek atzīts par nelikumīgu un nesaderīgu ar kopējo tirgu;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w:t>
            </w:r>
            <w:r w:rsidR="00000000" w:rsidRPr="00000000" w:rsidDel="00000000">
              <w:rPr>
                <w:rtl w:val="0"/>
              </w:rPr>
              <w:t xml:space="preserve">),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2018. gada 21. novembra noteikumos Nr. 715 "De minimis atbalsta uzskaites un piešķiršanas kārtība" 20. un 21.punktā noteiktajam, de minimis atbalsta saņēmējam ir pienākums de minimis atbalsta uzskaites sistēmā sagatavot un iesniegt de minimis atbalsta pretendenta veidlapu, kas satur informāciju, kas nepieciešama atbalsta sniedzējam, lai pārliecinātos par atbalsta pretendenta atbilstību de minimis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noteikumu projektu papildināt ar normu, kas paredz projekta iesniedzējam un sadarbības partnerim (ja attiecināms) pie projekta iesnieguma pievienot sagatavotās atbalsta pretendenta veidlapas izdruku vai norādīt tās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593 63.4. apakšpunkts paredz, ka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uzskaites un piešķiršanas kārtību, attiecīgi, uzliekot pienākumu, ievērot MK 2018. gada 21. novembra noteikumos Nr. 715 "</w:t>
            </w:r>
            <w:r w:rsidR="00000000" w:rsidRPr="00000000" w:rsidDel="00000000">
              <w:rPr>
                <w:i w:val="1"/>
                <w:rtl w:val="0"/>
              </w:rPr>
              <w:t xml:space="preserve">De minimis </w:t>
            </w:r>
            <w:r w:rsidR="00000000" w:rsidRPr="00000000" w:rsidDel="00000000">
              <w:rPr>
                <w:rtl w:val="0"/>
              </w:rPr>
              <w:t xml:space="preserve">atbalsta uzskaites un piešķiršanas kārtība" iekļautās prasības (turpmāk – MK noteikumi Nr. 715).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nosacījums par atbalsta pretendenta veidlapu un tās identifikācijas numuru jau ir norādīts MK noteikumu Nr. 715 20. un 21. punktā, tad nav nepieciešamība šo nosacījumu dublēt MK noteikumu Nr. 593 tekstā. Norādām, ka normu dublēšana var radīt situāciju nākotnē, ka dēļ izmaiņām MK noteikumu Nr. 715 regulējumā, būs nepieciešams veikt grozījumus arī MK noteikumos Nr. 593, tādejādi radot papildu administratīvo slogu normatīvo aktu izstrādē un saskaņošanā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nosacījuma nozīmību, skaidrojam, ka atbalsta pretendenta veidlapu un to identifikācijas numuru nepieciešamība jau šobrīd tiek un arī turpmākajā atlases procesā tiks nodrošināta un stingri ievērota. Balstoties uz Finanšu ministrijas izstrādāto 3.1. metodiku “Eiropas Reģionālās attīstības fonda, Eiropas Sociālā fonda plus, Kohēzijas fonda un Taisnīgas pārkārtošanās fonda projektu iesniegumu atlases metodika 2021.–2027.gadam”, kurā ir iekļauts vienotais izvēles kritērijs Nr. 8 par </w:t>
            </w:r>
            <w:r w:rsidR="00000000" w:rsidRPr="00000000" w:rsidDel="00000000">
              <w:rPr>
                <w:i w:val="1"/>
                <w:rtl w:val="0"/>
              </w:rPr>
              <w:t xml:space="preserve">de minimis</w:t>
            </w:r>
            <w:r w:rsidR="00000000" w:rsidRPr="00000000" w:rsidDel="00000000">
              <w:rPr>
                <w:rtl w:val="0"/>
              </w:rPr>
              <w:t xml:space="preserve"> atbalsta piešķiršanu, 6.1.1.3. pasākuma projektu iesniegumu atlases nolikumā, t.sk. kritēriju piemērošanas metodikā ir iekļauts </w:t>
            </w:r>
            <w:r w:rsidR="00000000" w:rsidRPr="00000000" w:rsidDel="00000000">
              <w:rPr>
                <w:i w:val="1"/>
                <w:rtl w:val="0"/>
              </w:rPr>
              <w:t xml:space="preserve">de minimis</w:t>
            </w:r>
            <w:r w:rsidR="00000000" w:rsidRPr="00000000" w:rsidDel="00000000">
              <w:rPr>
                <w:rtl w:val="0"/>
              </w:rPr>
              <w:t xml:space="preserve"> atbilstības kritērijs, kas paredz, ka projekta iesniedzējam un sadarbības partnerim </w:t>
            </w:r>
            <w:r w:rsidR="00000000" w:rsidRPr="00000000" w:rsidDel="00000000">
              <w:rPr>
                <w:i w:val="1"/>
                <w:rtl w:val="0"/>
              </w:rPr>
              <w:t xml:space="preserve">de minimis</w:t>
            </w:r>
            <w:r w:rsidR="00000000" w:rsidRPr="00000000" w:rsidDel="00000000">
              <w:rPr>
                <w:rtl w:val="0"/>
              </w:rPr>
              <w:t xml:space="preserve"> atbalsts tiek piešķirts, ja, cita starpā, ir izveidota un pieejama </w:t>
            </w:r>
            <w:r w:rsidR="00000000" w:rsidRPr="00000000" w:rsidDel="00000000">
              <w:rPr>
                <w:i w:val="1"/>
                <w:rtl w:val="0"/>
              </w:rPr>
              <w:t xml:space="preserve">de minimis</w:t>
            </w:r>
            <w:r w:rsidR="00000000" w:rsidRPr="00000000" w:rsidDel="00000000">
              <w:rPr>
                <w:rtl w:val="0"/>
              </w:rPr>
              <w:t xml:space="preserve"> atbalsta uzskaites sistēmā sagatavotā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vai projekta iesniegumā ir norādīts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izziņā norādītās informācijas atbilstību, iespējams pārliecināties Centrālās finanšu un līgumu aģentūras tīmekļa vietnē iepriekšējo uzsaukumu ietvaros publicētajā dokumentācijā https://www.cfla.gov.lv/lv/6-1-1-3 (skat. kritēriju piemērošanas metodikas 2.6.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ES fondu 2025. gada 25. septembra apakškomitejas sēdes materiālos kritēriju piemērošanas metodikā turpmākajai atlasei https://www.esfondi.lv/profesionaliem/uzraudzibas-komiteja/uk-e-portfelis-2021-2027/2025-09-25-6ak-sede-varam_6113_2k (skat. kritēriju piemērošanas metodikas 2.5.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ES fondu 2021.-2027. periodā projektu iesniegumiem pievienojamie dokumenti netiek uzskaitīti MK noteikumos par pasākumu īstenošanu, bet projektu iesniegumu atlase nolikumā. Piemēram, 6.1.1.3. pasākuma projektiem visi pievienojamie dokumenti, kopskaitā 23 dokumenti, t.sk. arī </w:t>
            </w:r>
            <w:r w:rsidR="00000000" w:rsidRPr="00000000" w:rsidDel="00000000">
              <w:rPr>
                <w:i w:val="1"/>
                <w:rtl w:val="0"/>
              </w:rPr>
              <w:t xml:space="preserve">de minimis</w:t>
            </w:r>
            <w:r w:rsidR="00000000" w:rsidRPr="00000000" w:rsidDel="00000000">
              <w:rPr>
                <w:rtl w:val="0"/>
              </w:rPr>
              <w:t xml:space="preserve"> atbalsta pretendenta veidlapa, norādīti Projekta iesnieguma aizpildīšanas metodikā “Sadaļā – Obligātie pielikumi” (skat. https://www.cfla.gov.lv/lv/6-1-1-3 ).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w:t>
            </w:r>
            <w:r w:rsidR="00000000" w:rsidRPr="00000000" w:rsidDel="00000000">
              <w:rPr>
                <w:rtl w:val="0"/>
              </w:rPr>
              <w:t xml:space="preserve">),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atbalsta piešķiršanu sadarbības iestāde glabā 10 gadus no pasākuma ietvaros pēdējā piešķirtā atbalsta, bet finansējuma saņēmējs un sadarbības partneris –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stājušies spēkā grozījumi Ministru kabineta 2018. gada 21. novembra noteikumos Nr. 715 "De minimis atbalsta uzskaites un piešķiršanas kārtība", lūdzam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atbalsta piešķiršanu sadarbības iestāde glabā 10 gadus no pasākuma ietvaros pēdējā piešķirtā atbalsta, bet finansējuma saņēmējs un sadarbības partneris –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72.7. un šo noteikumu </w:t>
            </w:r>
            <w:r w:rsidR="00000000" w:rsidRPr="00000000" w:rsidDel="00000000">
              <w:rPr>
                <w:rtl w:val="0"/>
              </w:rPr>
              <w:t xml:space="preserve">23.</w:t>
            </w:r>
            <w:r w:rsidR="00000000" w:rsidRPr="00000000" w:rsidDel="00000000">
              <w:rPr>
                <w:rtl w:val="0"/>
              </w:rPr>
              <w:t xml:space="preserve"> punktā minētais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MK noteikumu Nr. 593 72.7. apakšpunkta nepieciešamību, ņemot vērā to, ka Eiropas Parlamenta un Padomes 2024. gada 23. septembra Regulas (ES, Euratom) 2024/2509 par finanšu noteikumiem, ko piemēro Savienības vispārējam budžetam (pārstrādātā redakcija), kas ir spēkā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vietā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72.7. un šo noteikumu </w:t>
            </w:r>
            <w:r w:rsidR="00000000" w:rsidRPr="00000000" w:rsidDel="00000000">
              <w:rPr>
                <w:rtl w:val="0"/>
              </w:rPr>
              <w:t xml:space="preserve">23.</w:t>
            </w:r>
            <w:r w:rsidR="00000000" w:rsidRPr="00000000" w:rsidDel="00000000">
              <w:rPr>
                <w:rtl w:val="0"/>
              </w:rPr>
              <w:t xml:space="preserve"> punktā minētais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kā arī paraksta interešu konflikta neesības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25-TA-1905</w:t>
    </w:r>
    <w:r>
      <w:br/>
    </w:r>
    <w:r w:rsidR="00000000" w:rsidRPr="00000000" w:rsidDel="00000000">
      <w:rPr>
        <w:rtl w:val="0"/>
      </w:rPr>
      <w:t xml:space="preserve">27.10.2025. 09.22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25-TA-1905</w:t>
    </w:r>
    <w:r>
      <w:br/>
    </w:r>
    <w:r w:rsidR="00000000" w:rsidRPr="00000000" w:rsidDel="00000000">
      <w:rPr>
        <w:rtl w:val="0"/>
      </w:rPr>
      <w:t xml:space="preserve">27.10.2025. 09.22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Izziņa_25-TA-1905.docx</dc:title>
</cp:coreProperties>
</file>

<file path=docProps/custom.xml><?xml version="1.0" encoding="utf-8"?>
<Properties xmlns="http://schemas.openxmlformats.org/officeDocument/2006/custom-properties" xmlns:vt="http://schemas.openxmlformats.org/officeDocument/2006/docPropsVTypes"/>
</file>