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22-TA-2989: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10. septembra rīkojumā Nr. 504 "Par nacionālo interešu objekta statusa noteikšanu militārajiem objektiem"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“Risinājuma apraksts” papildināt informāciju 4.-7.punktā par minēto nekustamo īpašumu īpašniekiem (valdītājiem).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ziņojuma 1.3. sadaļā "Risinājuma apraksts" papildināta informācija par nekustamo īpašumu īpašnieku (valdītāju).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2020. gada 10. septembra rīkojumā Nr. 504 "Par nacionālo interešu objekta statusa noteikšanu militārajiem objektiem"" sākotnējās ietekmes novērtējuma ziņojuma 1.3. sadaļu "Risinājuma apraksts", paredzot, ka papildu regulējums nacionālo interešu objektiem cita starp ir noteikts Būvniecības likuma 15. panta pirmās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ziņojuma 1.3. sadaļā "Risinājuma apraksts" precizēta atsauce uz Būvniecības likuma 15. panta pirmās daļas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nacionālo interešu objekta statusa noteikšanu militārajiem objektiem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2014.gada 14.oktobra noteikumu Nr.628 "Noteikumi par pašvaldību teritorijas attīstības plānošanas dokumentiem" 8.punktam Teritorijas attīstības plānošanas informācijas sistēma (turpmāk – sistēma) ir primārā plānošanas dokumentu izstrādes un publicēšanas darba vide, kā arī informācijas avots. Ministru kabineta 2014.gada 8.jūlija noteikumi Nr.392 "Teritorijas attīstības plānošanas informācijas sistēmas noteikumi" cita starpā noteic sistēmas datu saturu un  informācijas iegūšanas kārtību. Šo noteikumu 31.</w:t>
            </w:r>
            <w:r w:rsidR="00000000" w:rsidRPr="00000000" w:rsidDel="00000000">
              <w:rPr>
                <w:vertAlign w:val="superscript"/>
                <w:rtl w:val="0"/>
              </w:rPr>
              <w:t xml:space="preserve">1</w:t>
            </w:r>
            <w:r w:rsidR="00000000" w:rsidRPr="00000000" w:rsidDel="00000000">
              <w:rPr>
                <w:rtl w:val="0"/>
              </w:rPr>
              <w:t xml:space="preserve"> punkts noteic, ka informāciju par nacionālo interešu objektiem un to funkcionēšanai nepieciešamo teritoriju sistēmā iekļauj attiecīgā nozares ministrija vai tās deleģēta padotības iestāde vai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Ministru kabineta rīkojuma projektu “Grozījumi Ministru kabineta 2020.gada 10.septembra rīkojumā Nr.504 "Par nacionālo interešu objekta statusa noteikšanu militārajiem objektiem" ar jaunu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Divu mēnešu laikā pēc nacionālo interešu objekta statusa noteikšanas Aizsardzības ministrija nodrošina, ka informācija par nacionālo interešu objektiem un to funkcionēšanai nepieciešamo teritoriju tiek iekļauta Teritorijas attīstības plānošanas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Divu mēnešu laikā pēc nacionālo interešu objekta statusa noteikšanas Aizsardzības ministrija vai tās deleģēta padotības iestāde vai kapitālsabiedrība nodrošina, ka informācija par nacionālo interešu objektiem un to funkcionēšanai nepieciešamo teritoriju tiek iekļauta Teritorijas attīstības plānošanas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ir papildināts ar jaunu punktu šādā redakcijā: "3. Divu mēnešu laikā pēc nacionālo interešu objekta statusa noteikšanas Aizsardzības ministrija nodrošina, ka informācija par nacionālo interešu objektiem un to funkcionēšanai nepieciešamo teritoriju tiek iekļauta Teritorijas attīstības plānošanas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ziņojuma 1.3. sadaļā "Risinājuma apraksts" iekļauta informācija par datu ievadi Teritorijas attīstības plānošanas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nacionālo interešu objekta statusa noteikšanu militārajiem objektiem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22-TA-2989</w:t>
    </w:r>
    <w:r>
      <w:br/>
    </w:r>
    <w:r w:rsidR="00000000" w:rsidRPr="00000000" w:rsidDel="00000000">
      <w:rPr>
        <w:rtl w:val="0"/>
      </w:rPr>
      <w:t xml:space="preserve">16.11.2022. 11.54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22-TA-2989</w:t>
    </w:r>
    <w:r>
      <w:br/>
    </w:r>
    <w:r w:rsidR="00000000" w:rsidRPr="00000000" w:rsidDel="00000000">
      <w:rPr>
        <w:rtl w:val="0"/>
      </w:rPr>
      <w:t xml:space="preserve">16.11.2022. 11.54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Izziņa_22-TA-2989.docx</dc:title>
</cp:coreProperties>
</file>

<file path=docProps/custom.xml><?xml version="1.0" encoding="utf-8"?>
<Properties xmlns="http://schemas.openxmlformats.org/officeDocument/2006/custom-properties" xmlns:vt="http://schemas.openxmlformats.org/officeDocument/2006/docPropsVTypes"/>
</file>