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22-TA-459: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otrās projektu iesniegumu atlases kārtas „Daudzpusīgas profesionālās mākslas pieejamības nodrošināšana nacionālas vai reģionālas nozīmes attīstības centros Latvijā”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otrās projektu iesniegumu atlases kārtas „Daudzpusīgas profesionālās mākslas pieejamības nodrošināšana nacionālas vai reģionālas nozīmes attīstības centros Latvijā”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objektīvu apstākļu dēļ atzinumu nav iespējams sniegt norādītajā laikā. Lai nodrošinātu savstarpēji koordinēta un saskaņota viedokļa sniegšanu ar visām iesaistītajām struktūrvienībām, saturiski un pilnvērtīgi veiktu analīzi un sniegtu Finanšu ministrijas komentārus pēc būtības, kā arī ņemot vērā, ka tiesību akts pēc būtības ir jauns noteikumu projekts, kas iesūtīts pirmreizējai saskaņošanai, informējam, ka Finanšu ministrija atzinumu plāno sniegt līdz 18.02.2022.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otrās projektu iesniegumu atlases kārtas „Daudzpusīgas profesionālās mākslas pieejamības nodrošināšana nacionālas vai reģionālas nozīmes attīstības centros Latvijā”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„Izaugsme un nodarbinātība” prioritārā virziena „Pasākumi Covid-19 pandēmijas seku mazināšanai” 13.1.4.specifiskā atbalsta mērķa „Atveseļošanas pasākumi kultūras jomā” (turpmāk – specifiskais atbalsts) otro projektu iesniegumu atlases kārtu „Atbalsts kino industrijas uzņēmumiem, veicinot to profesionālo kapacitāti un izaugsmi” (turpmāk – otrā atlases kārta);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otrās atlases kārtas nosaukumu uz "Daudzpusīgas profesionālās mākslas pieejamības nodrošināšana nacionālas vai reģionālas nozīmes attīstības centros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„Izaugsme un nodarbinātība” prioritārā virziena „Pasākumi Covid-19 pandēmijas seku mazināšanai” 13.1.4.specifiskā atbalsta mērķa „Atveseļošanas pasākumi kultūras jomā” (turpmāk – specifiskais atbalsts) otro projektu iesniegumu atlases kārtu „Daudzpusīgas profesionālās mākslas pieejamības nodrošināšana nacionālas vai reģionālas nozīmes attīstības centros Latvijā” (turpmāk – otrā atlases kārta);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noteikumu projekta 12.punktā noteikto finansējuma saņēmēju juridisko statusu, ņemot vērā, ka noteikumu projekta 1.7.punktā noteikts, ka ar projekta iesniedzēju tiek slēgta</w:t>
            </w:r>
            <w:r w:rsidR="00000000" w:rsidRPr="00000000" w:rsidDel="00000000">
              <w:rPr>
                <w:b w:val="1"/>
                <w:rtl w:val="0"/>
              </w:rPr>
              <w:t xml:space="preserve"> vienošanās.</w:t>
            </w:r>
            <w:r w:rsidR="00000000" w:rsidRPr="00000000" w:rsidDel="00000000">
              <w:rPr>
                <w:b w:val="1"/>
                <w:rtl w:val="0"/>
              </w:rPr>
              <w:t xml:space="preserve"> </w:t>
            </w:r>
            <w:r w:rsidR="00000000" w:rsidRPr="00000000" w:rsidDel="00000000">
              <w:rPr>
                <w:rtl w:val="0"/>
              </w:rPr>
              <w:t xml:space="preserve">Skaidrojam, ka atbilstoši Eiropas Savienības struktūrfondu un Kohēzijas fonda 2014.—2020.gada plānošanas perioda vadības likumam vienošanās tiek slēgta ar finansējuma saņēmējiem, kas ir tiešās vai pastarpinātās valsts pārvaldes iestāde, atvasināta publiska persona vai cita valsts iestāde, turpretim līgumi tiek slēgtie ar finansējuma saņēmējiem, kas ir Latvijas Republikā reģistrēta juridiskā persona vai personu apvienība, vai fiziskā persona, kura reģistrēta kā saimnieciskās darbības veicēja, vai šo personu apvienība. Ņemot vērā iepriekš minēto, kā arī to, ka  ar finansējuma saņēmēju tik slēgta gan vienošanās (ar valstspilsētas pašvaldības iestādi "Daugavpils Marka Rotko mākslas centrs), gan līgumi  (ar pārējiem finansējuma saņēmējiem), lūdzam precizēt visā noteikumu projektā un anotācijā "vienošanās/līgumi".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viss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vai līguma par projekta īstenošanu vienpusēja uzteikuma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sagatavo un uzaicinājumā noteiktajā termiņā iesniedz projekta iesniegumu sadarbības iestādē saskaņā ar projekta iesnieguma atlases nolikuma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punktā noadītā atsauce uz uzaicinājumu, kurā projekta iesniedzējam noteikts termiņš projekta iesniegšanai sadarbības iestādē. Turpretim noteikumu projektā nav minēts, kas un kādā termiņā nosūta uzaicinājumu projekta iesniedzējam. Pamatojoties uz minēto, lūdzam papildināt noteikumu projektu, norādot, kas projekta iesniedzējiem nosūta uzaicinājumu un kādā laika ietvarā šīs pienākums ir jāīsteno.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papildināts ar norādi, ka sadarbības iestāde nosūta uzaicinājumu iesniegt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sadarbības iestādes funkcijas ir noteiktas Eiropas Savienības struktūrfondu un Kohēzijas fonda 2014.—2020.gada plānošanas perioda vadības likuma 12.pantā, tai skaitā funkcijas, kas saistītas ar dokumentācijas sagatavošanu, lai nodrošinātu projektu iesniegumu atlasi.   2014.gada 16.decembra Ministru kabineta noteikumu Nr.784 "Kārtība, kādā Eiropas Savienības struktūrfondu un Kohēzijas fonda vadībā iesaistītās institūcijas nodrošina plānošanas dokumentu sagatavošanu un šo fondu ieviešanu 2014.–2020.gada plānošanas periodā" 15.punkts nosaka, ka sadarbības iestāde izstrādā projektu iesniegumu atlases nolikumu un 16.2. apakšpunkts nosaka, kā sadarbības iestāde izsludina ierobežotu projektu iesniegumu atlasi.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sagatavo un sadarbības iestādes uzaicinājumā noteiktajā termiņā iesniedz projekta iesniegumu sadarbības iestādē saskaņā ar projekta iesnieguma atlases nolikuma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16.3. apakšpunktu atbilstoši noteikumu projekta 14. punktā noteiktajām prasībām, t.i., norādot informācijas pasākumus, kas projektā iekļaujami kā atbalstāmās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informācijas un publicitātes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informācijas un publicitātes pasākumi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ietvaros preču un pakalpojumu iepirkumos ir jāintegrē vides prasības (zaļais publiskais iepirkums), lai nodrošinātu atbilstību horizontālā principa „Ilgtspējīga attīstība” projektu vērtēšanas kritērijam. Finansējuma saņēmējs un sadarbības partneris piesaista preču piegādātājus un pakalpojuma sniedzējus atbilstoši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noteikumu projekta 17.punktu, ņemot vērā, ka no noteikumu projekta 1.punktā noteiktā pilnvarojuma neizriet, ka tiks piesaistīti sadarbības partneri. Gadījumā, ja tādi ir paredzēti, lūdzam skaidri noteikt noteikumu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ietvaros preču un pakalpojumu iepirkumos ir atbalstāmas vides prasības (zaļais publiskais iepirkums), lai nodrošinātu atbilstību horizontālā principa „Ilgtspējīga attīstība” projektu vērtēšanas kritērijam. Finansējuma saņēmējs piesaista preču piegādātājus un pakalpojuma sniedzējus atbilstoši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tiešās attiecināmās projekta vadības personāla un īstenošanas personāla atlīdzības izmaksas, kuras saskaņā ar Komisijas regulas Nr.1303/2013 68.a panta 1.punktu projekta iesniegumā plāno kā vienu izmaksu pozīciju, piemērojot izmaksu vienoto likmi 20 procentu apmērā no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minētajām projekta pārējām tiešajām attiecināmajām īstenošanas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plānoto likmes apmēru, ņemot vērā</w:t>
            </w:r>
            <w:r w:rsidR="00000000" w:rsidRPr="00000000" w:rsidDel="00000000">
              <w:rPr>
                <w:rtl w:val="0"/>
              </w:rPr>
              <w:t xml:space="preserve">, ka atbildīgajai iestādei, paredzot piemērot šo vienotās likmes veidu un apjomu specifiskā atbalsta mērķa ietvaros (turpmāk - SAM), ir jāsaskaņo ar  Vadošo iestādi  noteikta apmēra likme SAM Ministru kabineta (turpmāk - MK) noteikumu saskaņošanas procesā. Vēršam uzmanību, ka atsevišķa metodika par vienotās likmes piemērošanu un apmēru nav jāizstrādā, bet likmes veidošanās princips ir jāapraksta MK noteikumu anotācijā un pēc vienotās likmes apmēra noteikšanas, tā tiek iestrādāta MK noteikumos par SAM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gan finansējuma saņēmējam, gan uzraugošajām institūcijām, tika rasts risinājums vienotās likmes metodes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(turpmāk – Komisijas regula Nr.1303/2013) 68.a panta “Personāla izmaksas par dotācijām un atmaksājamo palīdzību” 1.punktu, kas nosaka, ka tiešās personāla izmaksas par darbību var aprēķināt kā vienotu likmi līdz 20 % no tiešajām izmaksām, kas neaptver minētās darbības personāla izmaksas. Dalībvalstīm nav jāveic nekādi aprēķini, lai noteiktu piemērojamo likmi, ar noteikumu, ka darbības tiešās izmaksas neietver publiskus būvdarbu līgumus, kuru vērtība pārsniedz Direktīvas 2014/24/ES 4. panta a) apakšpunktā noteikto robežvērtību.   Līdz ar to finansējuma saņēmēja projekta vadības personāla un īstenošanas personāla atlīdzības izmaksas Projektā plānotas kā viena izmaksu pozīcija, piemērojot vienoto likmi 20 procentu apmērā no pārējām tiešajām attiecināmajām izmaksām, kas neietver projekta vadības personāla un īstenošanas personāla izmaksas. Projekta vadības personāla un īstenošanas personāla vienotā likme 20 procentu apmērā piemērojama šādām amatu kategorijām: valdes locekļi, direktori (programmas, tehniskie utt.), vadītāji (projekta vadītājs, mākslinieciskais vadītājs utt.), vadītāju asistenti, mārketinga, pārdošanas un sabiedrisko attiecību speciālisti, producenti, grāmatveži, juristi, lietvedības un arhīva personāls, klientu apkalpošanas operatori, ugunsdrošības inspektori, pārvaldnieki, atbalsta personāls (sētnieki, apkopēji, palīgstrādnieki), līdz ar to šīs amatu kategorijas vienlaikus nevar tikt apmaksātas ārpakalpojuma ietvaros. Likmes apmērs saskaņots ar Finanšu ministriju kā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tiešās attiecināmās projekta vadības personāla un īstenošanas personāla atlīdzības izmaksas, kuras saskaņā ar Komisijas regulas Nr.1303/2013 68.a panta 1.punktu projekta iesniegumā plāno kā vienu izmaksu pozīciju, piemērojot izmaksu vienoto likmi 20 procentu apmērā no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minētajām projekta pārējām tiešajām attiecināmajām īstenošanas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tiešās attiecināmās projekta vadības personāla un īstenošanas personāla atlīdzības izmaksas, kuras saskaņā ar Komisijas regulas Nr.1303/2013 68.a panta 1.punktu projekta iesniegumā plāno kā vienu izmaksu pozīciju, piemērojot izmaksu vienoto likmi 20 procentu apmērā no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minētajām projekta pārējām tiešajām attiecināmajām īstenošanas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noteikumu projekta 16.2. un 20.1.apakšpunktā, kā arī anotācijā norādīto. Vēršam uzmanību, ka 16.2.apakšpunktā minēta tikai projekta vadības nodrošināšana, bet anotācijā minētas projekta vadības personāla atlīdzības izmaksas. Savukārt  noteikumu projekta 20.1.apakšpunktā - gan projekta vadības, gan īstenošanas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16.2.apakšpunkts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16.2.apakšpunkts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"16.2.projekta vadības personāla un īstenošanas personāla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tiešās attiecināmās projekta vadības personāla un īstenošanas personāla atlīdzības izmaksas, kuras saskaņā ar Komisijas regulas Nr.1303/2013 68.a panta 1.punktu projekta iesniegumā plāno kā vienu izmaksu pozīciju, piemērojot izmaksu vienoto likmi 20 procentu apmērā no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minētajām projekta pārējām tiešajām attiecināmajām īstenošanas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reģionālu kultūras institūciju darbības komunālo maksājumu izmaksas (tai skaitā telpu īres, elektrības un siltumapgādes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iestādes vadlīniju Nr.2.1 "Vadlīnijas attiecināmo un neattiecināmo izmaksu noteikšanai 2014.-2020.gada plānošanas periodā" 14.punkts nosaka, ka tiešās attiecināmās izmaksas ir projekta īstenošanas izmaksas, kas tieši saistītas ar projekta mērķa sasniegšanu un horizontālo principu nodrošināšanu. Tās projekta iesniegumā plāno, pamatojoties uz Ministru kabineta noteikumos par specifisko atbalsta mērķu stenošanu definētajām projekta tiešajām attiecināmajām izmaksām. Savukārt, saskaņā ar minēto vadlīniju 6.2.apakšpunktu projekta vadības un projekta īstenošanas netiešajās attiecināmajās izmaksās ietilpst telpu noma, komunālie maksājumi un telpu uzturēšanas izmaksas (t.sk. iestādes koplietošanas telpu un koplietošanas resursu izmantošanas izmaksu proporcionāla izmaksu segšana). Ņemot vērā augstāk minēto, lūdzam anotācijā sniegt pamatojumu šo izmaksu attiecināšanai no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20.2.apakšpunkts (20.2. reģionālu kultūras institūciju darbības komunālo maksājumu izmaksas (tai skaitā telpu īres, elektrības un siltumapgādes izmaksas)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projekta vadības personāla un īstenošanas personāla iekšzemes komandējumu un darba braucienu izmaksas, kam piemēro Finanšu ministrijas metodikā "Vienas vienības izmaksu standarta likmes aprēķina un piemērošanas metodika iekšzemes komandējumu izmaksām darbības programmas "Izaugsme un nodarbinātība" īstenošanai" noteiktās vienas vienības izmaksu standarta likmes;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izmaksas, kas saistītas ar epidemioloģiskās drošības pasākumu Covid-19 infekcijas izplatības ierobežošanai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Vadošās iestādes vadlīniju Nr.2.1 "Vadlīnijas attiecināmo un neattiecināmo izmaksu noteikšanai 2014.-2020.gada plānošanas periodā"  72.2.apakšpunktu vēršam uzmanību, ka saistībā ar Covid 19 pandēmijas radīto izmaksu attiecināšanu atbildīgajai iestādei ir jāvērtē katru projektu individuāli, t.sk. izvērtējot, vai attiecināmās izmaksas ir tieši saistītas ar projekta īstenošanu un projekta mērķu sasniegšanu. Minētais izvērtējums būtu jāatspoguļo noteikumu projekta anotācijā. Savukārt Vadošā iestāde aicina šādas izmaksas projekta vadības un īstenošanas personālam attiecināt no netiešajām attiecināmajām izmaksām, ja tās ir paredzētas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20.3.apakšpunkts (20.3. izmaksas, kas saistītas ar epidemioloģiskās drošības pasākumu Covid-19 infekcijas izplatības ierobežošanai īstenošanu)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20.4.6. pasākumu materiālu izmaksas (ekspozīciju, tai skaitā scenogrāfijas materiāli, teātra jauniestudējumu sagatavošanai nepieciešamie materiāli, mākslinieku rezidenču un simpoziju materiāli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20.4.6. apakšpunktā mākslinieku rezidenču izmaksas, kā arī scenogrāfijas materiāli, iespējams, dublē noteikumu projekta 20.4.4.2. un 20.4.3.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ietverto regulējumu. Attiecīgi lūdzam izvērtēt, vai noteikumu projekta 20.4.6. apakšpunkts ir izteikts atbilstoši Ministru kabineta 2009. gada 3. februāra noteikumu Nr. 108 "Normatīvo aktu projektu sagatavošanas noteikumi" (turpmāk – noteikumi Nr. 108) 3.2. un 3.3. apakšpunktam, un neatbilstības gadījumā izdarīt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attiecināmās izmaksas, secināms, ka tās netiek dublētas, ņemot vērā, ka 20.4.6.apakšpunktā minētās izmaksas ir pasākumu </w:t>
            </w:r>
            <w:r w:rsidR="00000000" w:rsidRPr="00000000" w:rsidDel="00000000">
              <w:rPr>
                <w:u w:val="single"/>
                <w:rtl w:val="0"/>
              </w:rPr>
              <w:t xml:space="preserve">materiālu izmaksas</w:t>
            </w:r>
            <w:r w:rsidR="00000000" w:rsidRPr="00000000" w:rsidDel="00000000">
              <w:rPr>
                <w:rtl w:val="0"/>
              </w:rPr>
              <w:t xml:space="preserve">, tai skaitā scenogrāfijas materiāli, mākslinieku rezidencēm nepieciešamie materiāli, savukārt, 20.4.4.2.apakšpunktā ir noteiktas </w:t>
            </w:r>
            <w:r w:rsidR="00000000" w:rsidRPr="00000000" w:rsidDel="00000000">
              <w:rPr>
                <w:u w:val="single"/>
                <w:rtl w:val="0"/>
              </w:rPr>
              <w:t xml:space="preserve">ārpakalpojumu izmaksas</w:t>
            </w:r>
            <w:r w:rsidR="00000000" w:rsidRPr="00000000" w:rsidDel="00000000">
              <w:rPr>
                <w:rtl w:val="0"/>
              </w:rPr>
              <w:t xml:space="preserve">, tai skaitā scenogrāfijas materiālu </w:t>
            </w:r>
            <w:r w:rsidR="00000000" w:rsidRPr="00000000" w:rsidDel="00000000">
              <w:rPr>
                <w:u w:val="single"/>
                <w:rtl w:val="0"/>
              </w:rPr>
              <w:t xml:space="preserve">izgatavošanas</w:t>
            </w:r>
            <w:r w:rsidR="00000000" w:rsidRPr="00000000" w:rsidDel="00000000">
              <w:rPr>
                <w:rtl w:val="0"/>
              </w:rPr>
              <w:t xml:space="preserve"> izmaksas un 20.4.3.apakšpunktā ir noteiktas</w:t>
            </w:r>
            <w:r w:rsidR="00000000" w:rsidRPr="00000000" w:rsidDel="00000000">
              <w:rPr>
                <w:u w:val="single"/>
                <w:rtl w:val="0"/>
              </w:rPr>
              <w:t xml:space="preserve"> uzturēšanās izdevumu</w:t>
            </w:r>
            <w:r w:rsidR="00000000" w:rsidRPr="00000000" w:rsidDel="00000000">
              <w:rPr>
                <w:rtl w:val="0"/>
              </w:rPr>
              <w:t xml:space="preserve">, tai skaitā viesnīcas un ēdināšanas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20.4.5. pasākumu materiālu izmaksas (ekspozīciju, tai skaitā scenogrāfijas materiāli, teātra jauniestudējumu sagatavošanai nepieciešamie materiāli, mākslinieku rezidenču un simpoziju materiāli u.c.);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nodokļa maksājumi, kas tiešā veidā saistīti ar projektu, ir attiecināmās izmaksas, ja finansējuma saņēmējs tos nevar atgūt normatīvajos aktos par pievienotās vērtības nodokli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21. punktā noteikumu attiecībā uz pievienotās vērtības nodokļa maksājumu noteikšanu par attiecināmajām izmaksām, iespējams, dublē noteikumu projekta 20.4.2. un 20.4.3. apakšpunktā ietverto regulējumu. Attiecīgi lūdzam izvērtēt, vai noteikumu projekta 21. punkts ir izteikts atbilstoši Noteikumu Nr. 108 3.2. un 3.3. apakšpunktam, un neatbilstības gadījumā izdarīt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21.punktā ir norādītas tikai pievienotās vērtības nodokļa maksājumu izmaksas, ja finansējuma saņēmējs pievienotās vērtības nodokli nevar atgūt no valsts budžeta atbilstoši normatīvajiem aktiem nodokļu jomā. Šīs attiecināmās izmaksas nedublē Noteikumu projekta 20.4.2. un 20.4.3.apakšpunktā ietvertās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nodokļa maksājumi, kas tiešā veidā saistīti ar projektu, ir attiecināmās izmaksas, ja finansējuma saņēmējs tos nevar atgūt normatīvajos aktos par pievienotās vērtības nodokli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projekta izmaksas ir pieaugušas, salīdzinot ar lēmumā par projekta vai sadarbības partnera projekta apstiprināšanu fiksētajām izmaksām, finansējuma saņēmējs sedz sadārdzinājumu no saviem līdzekļiem. Finansējuma saņēmējs sadārdzinājumu nevar segt no līdzekļiem, kas piešķirti kā publisks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noteikumu projekta 22.punktu, ņemot vērā, ka no noteikumu projekta 1.punktā noteiktā pilnvarojuma neizriet, ka tiks piesaistīti sadarbības partneri. Gadījumā, ja tādi ir paredzēti, lūdzam skaidri noteikt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"sadarbības partnera".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projekta izmaksas ir pieaugušas, salīdzinot ar lēmumā par projekta apstiprināšanu fiksētajām izmaksām, finansējuma saņēmējs sedz sadārdzinājumu no saviem līdzekļiem. Finansējuma saņēmējs sadārdzinājumu nevar segt no līdzekļiem, kas piešķirti kā publisks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90 procentus no projektam piešķirtā Eiropas Reģionālās attīstības fonda finansējuma un valsts budžeta 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2015.gada 17.marta noteikumu Nr.130 “Noteikumi par valsts budžeta līdzekļu plānošanu Eiropas Savienības struktūrfondu un Kohēzijas fonda projektu īstenošanai un maksājumu veikšanu 2014.–2020.gada plānošanas periodā” 19.punktu, avansa un starpposma maksājumu kopsumma nedrīkst pārsniegt 90% no projektam piešķirtā Eiropas Savienības fonda finansējuma un, ja tas paredzēts projektā, valsts budžeta līdzfinansējuma kopsummas. Ievērojot minēto, lūdzam precizēt MK noteikumu projekta 24.punktu, papildinot ar vārdiem “un starpposma” aiz vārda “avansa”. Vienlaikus lūdzam papildināt noteikumu projektu, skaidri norādot viena avansa maksājuma apmēru. Attiecīgus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projektu iesniedzēju avansa apmēri var atšķirties, tāpēc Anotācijā ir norādīts, ka to var izmaksāt vairākos maksājumos, avansa un starpposma maksājumam nepārsniedzot 90% no projektam piešķirtā Eiropas Reģionālās attīstības fonda finansējuma un valsts budžeta finansējuma kopsummas. Atbilstoši 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avansa piešķiršanas nosacījumus un avansa apmēru - avansa un starpposma maksājumu kopsumma var būt līdz 90 procentiem no projektam piešķirtā Eiropas Reģionālās attīstības fonda finansējuma un valsts budžeta finansējuma kopsummas. Nosakot projekta avansa apmēru, ir jāņem vērā finansējuma saņēmēja spēja sešu mēnešu laikā pēc avansa maksājuma saņemšanas iesniegt sadarbības iestādē maksājuma pieprasījumu piešķirtā avansa maksājuma apmērā. Avansu var izmaksāt vairākos maksājumos."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un valsts budžeta finansējuma kopsummas.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māksliniecisko pasākuma plānu par 2022.gadu atbildīgajā iestādē iesniedz līdz 2022.gada 1.martam un par 2023.gadu līdz 2022.gada 15.novembrim. Mākslinieciskais pasākuma plāns par kārtējo gadu tiek aizpildīts atbilstoši atbildīgās iestādes izstrādātajai veidlapai.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normām nav atpakaļejoša spēka.  Ņemot vērā, ka norādītais termiņš - 01.03.2022. - ir pagājis, lūdzam norādīt tādu iesniegšanas datumu, kas būtu pēc noteikumu spēkā stāšanās. Vai lūdzam papildināt anotācijas 1.3. punktu, ietverot skaidrojumu par norādīto datumu, piemēram, ar atsauci uz citu normatīvo aktu, no kura izriet, ka projektu iesniedzējiem jau ir pastāvējis pienākums norādītajā termiņā iesniegt atbildīgajā iestādē māksliniecisko pasākumu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29.punkts.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māksliniecisko pasākuma plānu par 2022.gadu atbildīgajā iestādē iesniedz līdz 2022.gada 2.maijam un par 2023.gadu līdz 2022.gada 15.novembrim. Mākslinieciskais pasākuma plāns par kārtējo gadu tiek aizpildīts atbilstoši atbildīgās iestādes izstrādātajai veidlapai.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Atbildīgā iestāde, lai izvērtētu specifiskā atbalsta otrās atlases kārtas finansējumu saņēmēju organizāciju mākslinieciskos pasākumu plānus, izveido darba grupu, kas izskata un sniedz atzinumu sadarbības iestādei par māksliniecisko pasākumu plānu atbilstību specifiskā atbalsta otrās atlases kārtas īstenošanas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vai anotācijā paredzēt māksliniecisko pasākumu plānu grozīšanas iespējas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30.punktu un 30.1.,30.2.apakšpunktu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"30.Specifiskā atbalsta otrās atlases kārtas finansējuma saņēmējs visu projekta īstenošanas laiku iesniedz atbildīgajā iestādē precizētu māksliniecisko pasākumu plānu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30.1.ja māksliniecisko pasākuma plānu nepieciešams papildināt ar jauniem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30.2.ja kāds no mākslinieciskā pasākuma plāna pasākumiem tiek atcelts un tā īstenošanu nevar nodrošināt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Atbildīgā iestāde izveido darba grupu, kas izskata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noteiktā kārtībā iesniegtos mākslinieciskos pasākumu plānus un mēneša laikā no mākslinieciskā plāna iesniegšanas atbildīgajā iestādē sniedz atzinumu sadarbības iestādei par māksliniecisko pasākumu plānu atbilstību specifiskā atbalsta otrās atlases kārtas īstenošanas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projekta pārskata periodā atbilstoši atbildīgās iestādes sniegtajai informācijai izvērtē finansējuma saņēmēja atbilstību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noteiktajām prasībām un nodrošina projekta īstenošanas laikā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noteiktās prasības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definējumu, jo nav skaidrs par kādu projekta pārskata periodu un sniegto informāciju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sadaļā esošo tekstu lūdzam pārvietot uz sadaļu "Cita informācija". Attiecīgi lūdzam skatīt priekšlikumu anotācijas 8.2. sadaļā.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šajā sadaļā būtu jāizveido apraksts par to, kādas darbības projektu ietvaros tiks atbalstītas, lai sniegtu ieguldījumu un veicinātu dzimumu līdztiesību. Kā piemēru var minēt dažas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(skat. LM metodisko materiālu “Ieteikumi diskrimināciju un stereotipus mazinošai komunikācijai ar sabiedrību”, https://www.lm.gov.lv/lv/metodiskie-materiali )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saskaņošanu, paredzot attālināta un nepilna laika darba iespēju radīšanu vecākiem ar bērniem, t.sk. darba vietā tiks izveidota bērnu pieskatīšanas telpa ar aprīkotu darbstaciju;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ieviesti tādi personāla atlases nosacījumi un prakses, kas veicina mazāk pārstāvētā dzimuma piesaisti, kā arī tiks ņemti vērā  nosacījumi attiecībā uz personāla atlasi un vienlīdzīgu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 mērķis ir arī veicināt plašāku kultūras pakalpojumu pieejamību, tādējādi radot pozitīvu ietekmi uz vietējām kopienām, kā arī reģionālās kultūrvides aktivizēšanos un ekonomisko attīstību, sadaļā 8.1.9. lūdzam norādīt, kā pasākums ietekmēs personu ar invaliditāti vienlīdzīgas iespējas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pasākumiem, kuri būtu uzskatāmi par personu ar invaliditāti vienlīdzīgas iespējas veicinošiem.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varam minēt šādus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projektus, kur attiecināms, tiks nodrošināts, ka kultūras pasākumu (t.sk. informācija par pasākumu) un kultūras produktu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 fiziska pasākumu piekļūstamība cilvēkiem ar invaliditāti - gan kā skatītājiem, gan kā māksliniekiem;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organizējot mākslas kolektīvu un mākslinieku, kā arī viesmākslinieku koncertus, izrādes vai izstādes, vai filmu skates vai festivālus,  kā arī teātra izrāžu iestudēšanu, tiks nodrošināti nediskriminācijas principi attiecībā pret māksliniekiem ar invaliditāti, dažāda vecuma, dzimuma, etniskās piederības u.c. pazīmes dalībniekiem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Metodiskie materiāli un ieteikumi attiecībā uz vides un informācijas piekļūstamību ir apkopoti LM tīmekļa vietnē https://www.lm.gov.lv/lv/metodiskie-materiali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SAM ietekmes uz horizontālo principu "Vienlīdzīgas iespējas"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SAM ir netieša ietekme uz horizontālo principu „Vienlīdzīgas iespējas”. Projektu vērtēšanā tiks piešķirti papildus punkti, ja projektā tiks paredzētas specifiskas darbības, kas veicina vienlīdzīgas iespējas un kultūras pasākumu piekļūstamību visām sabiedrības grupām, tostarp nodrošināta informācijas un vides piekļūstamība cilvēkiem ar invaliditāti, nediskriminācija pēc vecuma, dzimuma, etniskās piederības u.c. pazīmes. Tādējādi tiks atbalstīti projekti, kas veicina vienlīdzīgas iespējas un nediskrimināciju.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"Risinājuma aprakstā" svītrot šo teikuma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pārliecība, ka finansējuma saņēmēja pašu ieņēmumi nepārsniedz 50% no kopējā ar kultūru vai mākslu saistītā finansējuma saņēmēja gada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tā nav saistīta ar tālāk minēto projekta neto ieņēmumu uzraudzību. Skaidrojam, ka vērtējot to, vai finansējuma saņēmēja īstenotajām darbībām nav saimnieciska rakstura, tiek ņemts vērā finansējuma saņēmēja kopējais gada budžets. Taču vērtējot neto ieņēmumus projektā, tiek ņemti vērā tikai ar projekta īstenošanu saistītie ieņēmumi un izdevumi, tādēļ nepieciešams nodrošināt to atsevišķu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struktūrfondu un Kohēzijas fonda 2014. – 2020.gada plānošanas perioda vadības likuma</w:t>
            </w:r>
            <w:r w:rsidR="00000000" w:rsidRPr="00000000" w:rsidDel="00000000">
              <w:rPr>
                <w:rtl w:val="0"/>
              </w:rPr>
              <w:t xml:space="preserve"> 20.panta 6. un 13.punktu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noteikumu projektu ar jaunu punktu, paredzot izmaksu pozīciju neparedzētajām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neparedzēto izdevumu izmaksas projekta iesniegumā nav paredzēts attiecināt.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struktūrfondu un Kohēzijas fonda 2014. – 2020.gada plānošanas perioda vadības likuma</w:t>
            </w:r>
            <w:r w:rsidR="00000000" w:rsidRPr="00000000" w:rsidDel="00000000">
              <w:rPr>
                <w:rtl w:val="0"/>
              </w:rPr>
              <w:t xml:space="preserve"> 20.panta 6. un 13.punktu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informāciju par īpašumtiesībām uz konkrētajiem objektiem vai īpašumu, kurā plānots veikt ieguldījumus, ņemot vērā, ka noteikumu projekts ir attiecināms uz pakalpojumu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nav nepieciešams papildināt ar informāciju par īpašumtiesībām, ņemot vērā, ka Noteikumu projekts nosaka piešķirt finansējumu konkrētu finansējuma saņēmēju - kultūras organizāciju, darbības nodrošināšanai, tai skaitā Mākslinieciskā pasākuma plāna īstenošanai, un neatkarīgi no objekta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Specifiskā atbalsta otrās atlases kārtas īstenošanu nodrošina Kultūras ministrija kā atbildīgā iestāde (turpmāk – atbildīgā iestāde) sadarbībā ar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3.punktā svītrot vārdus "sadarbībā ar sadarbības iestādi", ņemot vērā, ka Eiropas Savienības struktūrfondu un Kohēzijas fonda 2014.—2020.gada plānošanas perioda vadības likuma 12.pants skaidro, kādu funkciju veic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Specifiskā atbalsta otrās atlases kārtas īstenošanu nodrošina Kultūras ministrija kā atbildīgā iestāde (turpmāk – atbildīgā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Specifiskā atbalsta mērķis ir sniegt atbalstu kultūras nozares organizācijām, lai mazinātu Covid-19 pandēmijas izraisītās krīzes sekas un saglabātu darbavietas organizācijās, kas darbojas kultūras un radošajās nozarēs, paātrinot kultūras nozares organizāciju pielāgošanos jaunajiem apstākļiem un veicinot plašāku kultūras pakalpojumu pieejamību, tādējādi radot pozitīvu ietekmi uz vietējām kopienām, kā arī reģionālās kultūrvides aktivizēšanos un ekonomisko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5.punktā precizēt vārdus "nozares organizācijām", ņemot vērā noteikumu projekta 12.punktā noteikto projekta iesniedzēju juridisko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mērķis noteikts darbības programmā „Izaugsme un nodarbinātība”, attiecīgi, sniedzot atbalstu konkrētām pašvaldības kapitālsabiedrībām un pašvaldības iestādei, tiks sasniegts plašāks darbības programmā „Izaugsme un nodarbinātība” noteiktais mērķis - sniegt atbalstu organizācijām, kas darbojas kultūras un radošajās nozarēs un piedalīsies mākslnieciskā pasākumu plāna īstenošanā kā ārpakalpojuma sniedzēji.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mērķis ir sniegt atbalstu kultūras nozares organizācijām - gan konkrētiem projektu iesniedzējiem (pašvaldību kapitālsabiedrībām un pašvaldības iestādei), gan tām organizācijām, kas darbojas kultūras un radošajās nozarēs un piedalīsies mākslinieciskā pasākumu plāna īstenošanā kā ārpakalpojuma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Specifiskā atbalsta mērķis ir sniegt atbalstu kultūras nozares organizācijām, lai mazinātu Covid-19 pandēmijas izraisītās krīzes sekas un saglabātu darbavietas organizācijās, kas darbojas kultūras un radošajās nozarēs, paātrinot kultūras nozares organizāciju pielāgošanos jaunajiem apstākļiem un veicinot plašāku kultūras pakalpojumu pieejamību, tādējādi radot pozitīvu ietekmi uz vietējām kopienām, kā arī reģionālās kultūrvides aktivizēšanos un ekonomisko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netiešās attiecināmās izmaksas plāno kā vienu izmaksu pozīciju, piemērojot netiešo izmaksu vienoto likmi 15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izmaksām, ko aprēķina tikai tām izmaksām, kas radušās uz darba līguma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teikuma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aprēķina tikai tām izmaksām, kas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20.1. apakšpunktā minētajām personāla izmaksām tiks piemērota vienotā likme (t.i., netiks kontrolēts, vai projekta personāls piesaistīts uz darba vai uzņēmuma līgumu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netiešās attiecināmās izmaksas plāno kā vienu izmaksu pozīciju, piemērojot netiešo izmaksu vienoto likmi 15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20.4.3.6. maksājumi aģentūrām, uzņēmumu līgumu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iekļaujot informāciju par 20.4.3.6. apakšpunktā noteikto izmaksu mērķi, skaidrojot kādi maksājumi aģentūrām un kāda satura uzņēmumu līgumu izmaksas ir attiecināmas šī apakšpunkta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īstenotājiem organizējot profesionālās mākslas koncertus, izrādes vai izstādes, vai filmu skates vai festivālus, rodas izmaksas par gatavu produktu, kas ir nepieciešami mākslinieciskā pasākuma plānā iekļauto pasākumu īstenošanas nodrošināšanai, iegādi, tai skaitā, par pakalpojumiem, ko sniedz aģentūras vai citas juridiskas personas, kas pakalpojumus nodrošina, slēdzot uzņēmuma līgumus, ar Projekta 20.4.3.4.apakšpunktu kā attiecināmās izmaksas noteiktas koncertprogrammu un teātra viesizrāžu iegādes izmaksas un ar Projekta 20.4.3.6.apakšpunktu kā attiecināmās izmaksas noteikti citi maksājumi aģentūrām un izmaksas, kas rodas uz uzņēmumu līguma pamata, piemēram, maksājumi par profesionālu mākslas uzvedumu, koncertu, izrāžu, izstāžu,  filmu skatu un festivālu organizēšanu un izrādīšanu.".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20.4.3.6. maksājumi aģentūrām, uzņēmumu līgumu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nepieciešams papildināt ar vārdiem “un valsts budžeta finansējuma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90 procentus no projektam piešķirtā Eiropas Reģionālās attīstības fonda un valsts budžeta 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un valsts budžeta finansējuma kopsummas.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māksliniecisko pasākuma plānu par 2022.gadu atbildīgajā iestādē iesniedz līdz 2022.gada gada 1.martam un par 2023.gadu līdz 2022.gada 15.novembrim. Mākslinieciskais pasākuma plāns par kārtējo gadu tiek aizpildīts atbilstoši atbildīgās iestādes izstrādātajai veidlapai.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dubultā uzrakstīto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māksliniecisko pasākuma plānu par 2022.gadu atbildīgajā iestādē iesniedz līdz 2022.gada 1.martam un par 2023.gadu līdz 2022.gada 15.novembrim. Mākslinieciskais pasākuma plāns par kārtējo gadu tiek aizpildīts atbilstoši atbildīgās iestādes izstrādātajai veidlapai.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māksliniecisko pasākuma plānu par 2022.gadu atbildīgajā iestādē iesniedz līdz 2022.gada 2.maijam un par 2023.gadu līdz 2022.gada 15.novembrim. Mākslinieciskais pasākuma plāns par kārtējo gadu tiek aizpildīts atbilstoši atbildīgās iestādes izstrādātajai veidlapai.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Atbildīgā iestāde, lai izvērtētu specifiskā atbalsta otrās atlases kārtas finansējumu saņēmēju organizāciju mākslinieciskos pasākumu plānus, izveido darba grupu, kas izskata un sniedz atzinumu sadarbības iestādei par māksliniecisko pasākumu plānu atbilstību specifiskā atbalsta otrās atlases kārtas īstenošanas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sadarbības iestāde nodrošinās uzraudzību, ka finansējuma saņēmēja faktiski īstenotie pasākumi atbilst atbildīgās iestādes apstiprinātajam ikgadējam finansējuma saņēmēja organizācijas darbības māksliniecisko pasākumu plānam vai arī pie 20.punkta attiecīgajiem apakšpunktiem papildināt ar vārdiem “Saskaņā ar atbildīgās iestādes apstiprināto ikgadējo māksliniecisko pasākumu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20.4.punkts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"20.4.izmaksas, kas saistītas ar kultūras institūciju mākslinieciskā pasākuma plāna, kas nodrošina daudzpusīgas profesionālās mākslas pieejamību nacionālas vai reģionālas nozīmes attīstības centrā, īstenošanu saskaņā ar atbildīgās iestādes apstiprināto ikgadējo māksliniecisko pasākumu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Atbildīgā iestāde izveido darba grupu, kas izskata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noteiktā kārtībā iesniegtos mākslinieciskos pasākumu plānus un mēneša laikā no mākslinieciskā plāna iesniegšanas atbildīgajā iestādē sniedz atzinumu sadarbības iestādei par māksliniecisko pasākumu plānu atbilstību specifiskā atbalsta otrās atlases kārtas īstenošanas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Atbildīgā iestāde, lai izvērtētu specifiskā atbalsta otrās atlases kārtas finansējumu saņēmēju organizāciju mākslinieciskos pasākumu plānus, izveido darba grupu, kas izskata un sniedz atzinumu sadarbības iestādei par māksliniecisko pasākumu plānu atbilstību specifiskā atbalsta otrās atlases kārtas īstenošanas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termiņu, cik ilgā laikā atzinums tiek iesniegts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Atbildīgā iestāde izveido darba grupu, kas izskata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noteiktā kārtībā iesniegtos mākslinieciskos pasākumu plānus un mēneša laikā no mākslinieciskā plāna iesniegšanas atbildīgajā iestādē sniedz atzinumu sadarbības iestādei par māksliniecisko pasākumu plānu atbilstību specifiskā atbalsta otrās atlases kārtas īstenošanas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V sadaļas 1. Tabulas B aili "Projekta vienība, kas pārņem vai ievieš A minēto", skaitli "15" aizstājot ar skaitli "14", tādējādi norādot korekto projekta vienību.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"Apraksts" svītrot atkārtoti lietoto teikumu "Projekts sagatavots, pamatojoties uz Eiropas Savienības struktūrfondu un Kohēzijas fonda 2014. – 2020.gada plānošanas perioda vadības likuma (turpmāk – Vadības likums) 20.panta 6. un 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sadaļā "Risinājuma apraksts" precizēt teikumu "Projekta iesniegumu vērtēšanas kritērijus rakstiskās procedūras ietvaros saskaņoti Eiropas Savienības struktūrfondu un Kohēzijas fonda 2014. – 2020.gada plānošanas perioda apakškomitejas, vērtēšanas kritēriji ietver kritēriju, atbilstoši kuram tiek vērtēts, vai projekta iesniegumā ir ietverta informācija, kas apliecina dubultā finansējuma neesamību un plānoto demarkāciju ar citiem līdzīgiem projektiem (projekta iesniedzēja vai citu subjektu īstenotiem) vai atbalsta pasākumiem.", veidojot loģisku teikuma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Risinajuma aprakstā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Projektu noteikts, ka projekta iesniedzējs finansējuma saņēmēja organizācijas darbības māksliniecisko pasākuma plānu par 2022.gadu atbildīgajā iestādē iesniedz līdz 2022.gada </w:t>
            </w:r>
            <w:r w:rsidR="00000000" w:rsidRPr="00000000" w:rsidDel="00000000">
              <w:rPr>
                <w:b w:val="1"/>
                <w:u w:val="single"/>
                <w:rtl w:val="0"/>
              </w:rPr>
              <w:t xml:space="preserve">gada</w:t>
            </w:r>
            <w:r w:rsidR="00000000" w:rsidRPr="00000000" w:rsidDel="00000000">
              <w:rPr>
                <w:b w:val="1"/>
                <w:rtl w:val="0"/>
              </w:rPr>
              <w:t xml:space="preserve">  </w:t>
            </w:r>
            <w:r w:rsidR="00000000" w:rsidRPr="00000000" w:rsidDel="00000000">
              <w:rPr>
                <w:rtl w:val="0"/>
              </w:rPr>
              <w:t xml:space="preserve">1.martam un par 2023.gadu līdz 2022.gada 15.novembrim atbilstoši atbildīgās iestādes izstrādātajai veidlapai"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dzest dubultā ierakstīto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projekta iesniegumu, </w:t>
            </w:r>
            <w:r w:rsidR="00000000" w:rsidRPr="00000000" w:rsidDel="00000000">
              <w:rPr>
                <w:b w:val="1"/>
                <w:u w:val="single"/>
                <w:rtl w:val="0"/>
              </w:rPr>
              <w:t xml:space="preserve">finansējuma saņēmējs</w:t>
            </w:r>
            <w:r w:rsidR="00000000" w:rsidRPr="00000000" w:rsidDel="00000000">
              <w:rPr>
                <w:rtl w:val="0"/>
              </w:rPr>
              <w:t xml:space="preserve">  ar Kultūras ministriju saskaņoto māksliniecisko pasākuma plānu par 2022.gadu pievieno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labot uz "projekta iesniedzējs".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13.1.4.SAM ietvaros ir atbalstāmas darbības, kas sekmē 13.1.4.SAM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otrās atlases kārtas ietvaros </w:t>
            </w:r>
            <w:r w:rsidR="00000000" w:rsidRPr="00000000" w:rsidDel="00000000">
              <w:rPr>
                <w:rtl w:val="0"/>
              </w:rPr>
              <w:t xml:space="preserve"> reģionālo daudzfunkcionālo centru darbības un daudzpusīgas profesionālās mākslas pieejamības nodrošināšana nacionālas vai reģionālas nozīmes attīstības centros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arī turpmākie uzskaitītie punkti attiecas uz II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nodrošināta 13.1.4.specifiskā atbalsta mērķa “Atveseļošanas pasākumi kultūras jomā” rādītāju sasniegšana atbilstoši darbības programmā “Izaugsme un nodarbinātība” noteiktajām sasniedzamajām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programmā noteiktās rādītāju vērtības tiks paredzēts sasniegt trīs atlases kārtu ietvaros, katras kārtas Ministru kabineta noteikumos un vērtēšanas kritērijos paredzot minimālo sasniedzamo rādītāju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kas nosaka finanšu plūsmas pirms projekta apstiprināšanas nodrošināšanas nosacījumus, kā arī atbildīgās iestādes pienākumus un atbildību gadījumos, ja pirms projekta apstiprināšanas radušās izmaksas, kas nav attiecināmas no ES fondu līdzekļiem, ņemot vērā, ka izmaksas ir attiecināmas pirms līguma noslēgšanas – no 2022.gada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izmaksas ir attiecināmas no 2022.gada 1.jānvāra, atbildīgā iestāde ir informējusi projekta iesniedzējus par riskiem, kas rodas priekšfinansējot projekta izmaksas. Izmaksas, ko sadarbības iestāde noteiks kā neatbilstoši veiktos izdevumus, projekta iesniedzējs segs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13.1.4.specifiskā atbalsta mērķa “Atveseļošanas pasākumi kultūras jomā” plānotās atbalstāmās darbības veicinās Eiropas Savienības stratēģijā Baltijas jūras reģionam noteikto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otrās atlases kārtas ietvaros paredzētās darbības var sniegt ieguldījumu Eiropas Savienības stratēģijas Baltijas jūras reģionam politikas virziena “Kultūra” īstenošanā, sniedzot atbalstu kultūras organizāciju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piešķiramā avansa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avansa apjoms noteikts, jo finansējuma saņēmējs kā pašvaldības kapitālsabiedrība un pašvaldība iestāde nerada finansējuma atgūšanas risku, kā arī ņemot vērā īso projekta īstenošanas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avansa piešķiršanas nosacījumus un avansa apmēru, kas var būt līdz 90 procentiem no projektam piešķirtā Eiropas Reģionālās attīstības fonda finansējuma un valsts budžeta finansējuma kopsummas. Nosakot projekta avansa apmēru, ir jāņem vērā finansējuma saņēmēja spēja sešu mēnešu laikā pēc avansa maksājuma saņemšanas iesniegt sadarbības iestādē maksājuma pieprasījumu piešķirtā avansa maksājuma apmērā. Avansu var izmaksāt vairākos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iespējām 13.1.4.specifiskā atbalsta mērķa “Atveseļošanas pasākumi kultūras jomā” ietvaros paredzēt un piemērot vienkāršotās izmaksas (papildus jau paredzētajai netiešo izmaksu 15% likmei).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gan finansējuma saņēmējam, gan uzraugošajām institūcijām, tika rasts risinājums vienotās likmes metodes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(turpmāk – Komisijas regula Nr.1303/2013) 68.a panta “Personāla izmaksas par dotācijām un atmaksājamo palīdzību” 1.punktu, kas nosaka, ka tiešās personāla izmaksas par darbību var aprēķināt kā vienotu likmi līdz 20 % no tiešajām izmaksām, kas neaptver minētās darbības personāla izmaksas. Dalībvalstīm nav jāveic nekādi aprēķini, lai noteiktu piemērojamo likmi, ar noteikumu, ka darbības tiešās izmaksas neietver publiskus būvdarbu līgumus, kuru vērtība pārsniedz Direktīvas 2014/24/ES 4. panta a) apakšpunktā noteikto robežvērtību.   Līdz ar to finansējuma saņēmēja projekta vadības personāla un īstenošanas personāla atlīdzības izmaksas Projektā plānotas kā viena izmaksu pozīcija, piemērojot vienoto likmi 20 procentu apmērā no pārējām tiešajām attiecināmajām izmaksām, kas neietver projekta vadības personāla un īstenošanas personāla izmaksas. Projekta vadības personāla un īstenošanas personāla vienotā likme 20 procentu apmērā piemērojama šādām amatu kategorijām: valdes locekļi, direktori (programmas, tehniskie utt.), vadītāji (projekta vadītājs, mākslinieciskais vadītājs utt.), vadītāju asistenti, mārketinga, pārdošanas un sabiedrisko attiecību speciālisti, producenti, grāmatveži, juristi, lietvedības un arhīva personāls, klientu apkalpošanas operatori, ugunsdrošības inspektori, pārvaldnieki, atbalsta personāls (sētnieki, apkopēji, palīgstrādnieki), līdz ar to šīs amatu kategorijas vienlaikus nevar tikt apmaksātas ārpakalpojuma ietvaros.Likmes apmērs saskaņots ar Finanšu ministriju kā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noteikts, ka projekta iesniedzējam jāpiemēro Finanšu ministrijas metodikā "Vienas vienības izmaksu standarta likmes aprēķina un piemērošanas metodika iekšzemes komandējumu izmaksām darbības programmas "Izaugsme un nodarbinātība" īstenošanai" noteiktās vienas vienības izmaksu standarta likmes, lai aprēķinātu projekta vadības personāla un īstenošanas personāla iekšzemes komandējumu un darba braucienu izmaksas, kā arī Finanšu ministrijas metodikā "Vienas vienības izmaksu standarta likmes aprēķina un piemērošanas metodika 1 km izmaksām darbības programmas "Izaugsme un nodarbinātība" īstenošanai" noteiktās vienas vienības izmaksu standarta likmes, lai aprēķinātu projekta vadības personāla un īstenošanas personāla degvielas izmaksas vieglajam transportlīdzeklim un reģionālās starppilsētu nozīmes un reģionālās vietējas nozīmes sabiedriskā transporta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nodrošināta 13.1.4.specifiskā atbalsta mērķa “Atveseļošanas pasākumi kultūras jomā” ietvaros plānoto darbību dubultfinansējuma riska novēršana.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dubultfinansējuma risku, projektu iesniegumu vērtēšanas kritērijos sadarbības iestāde vērtēs specifisko atbilstības kritēriju, atbilstoši kuram tiek vērtēts, vai projekta iesniegumā ietverta informācija, kas apliecina dubultā finansējuma neesamību un plānoto demarkāciju ar citiem līdzīgiem projektiem (projekta iesniedzēja vai citu subjektu īstenotiem) vai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iesniedzēji projekta iesniegumam pievienos projekta iesniedzēja apliecinājums par dubultā finansējuma neesamību atbilstoši projektu iesniegumu atlases nolikumā noteiktajai formai."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nepieciešamo rīcību arī attiecībā uz MK noteikumu un līguma grozījumiem gadījumā, ja kultūras nozares straujas atveseļošanās rezultātā rastos situācija, kad kādam no finansējuma saņēmējiem ieņēmumi pārsniegs 50% no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tiks izskatīta nepieciešamība grozīt Projektu un vienošanos vai līgumu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Anotācijā ir arī noteikts, ka "ja 13.1.4.SAM otrās atlases kārta projektu īstenošanas laikā iestāsies gadījums, kad kultūras nozares straujas atveseļošanās rezultātā rodas situācija, kad kādam no finansējuma saņēmējiem ieņēmumi pārsniegs 50% no izdevumiem, Kultūras ministrija informēs sadarbības iestādi un skaņos piešķirto atbalstu ar Eiropas Komisiju kā saderīgu atbalstu, vērtējot atbilstību komercdarbības atbalstu piešķiršanas pazīmēm.".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anotāciju ar institucionālo sastāvu plānotajai darba grupai, kas izskata un sniedz atzinumu sadarbības iestādei par māksliniecisko pasākumu plānu atbilstību 13.1.4.specifiskā atbalsta mērķa “Atveseļošanas pasākumi kultūras jomā” otrās atlases kārtas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ārējo normatīvo aktu ir noteikts, ka Kultūras ministrija izveido mākslnieciskā pasākumu plāna izvērtēšanas darba grupu un šīs darba grupas sastāvs tiks noteikts ar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informāciju par projektu iesniegumu vērtēšanas kritērijiem, ņemot vērā, ka 13.1.4.specifiskā atbalsta mērķa “Atveseļošanas pasākumi kultūras jomā” projektu iesniegumu vērtēšanas kritērijos ir ierosināti grozījumi, paredzot izdalīt atsevišķus kritēriju komplektus otrās un trešās projektu iesniegumu atlases kārtas projektu iesniegumu vērtēšanas kritērijos un 2022.gada 15.februārī tie nosūtīt izskatīšanai Eiropas Savienības struktūrfondu un Kohēzijas fonda Uzraudzības komitejas rakstiskajā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"13.1.4.specifiskā atbalsta mērķa "Atveseļošanas pasākumi kultūras jomā” projektu iesniegumu vērtēšanas kritērijos ir ierosināti grozījumi, paredzot izdalīt atsevišķus kritēriju komplektus otrās un trešās projektu iesniegumu atlases kārtas projektu iesniegumu vērtēšanas kritērijos un 2022.gada 15.februārī tie nosūtīti izskatīšanai Eiropas Savienības struktūrfondu un Kohēzijas fonda Uzraudzības komitejas rakstiskajā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"Risinājumu apraksts" norādīto informāciju, šādā redakcijā:  "...ar Projektu noteikts katram otrās atlases kārtas projetka iesniedzējam maksimāli pieejamais finansējums 500 000 euro uz visu projekta īstenošanas periodu", vai papildināt  noteikumu projektu un attiecīgi arī anotāciju ar projekta sadarbības partneru piesaistes nosacījumiem. ņemot vēŗa, ka esošajā redakcijā  noteikumu projekts neparedz projekta sadarbības partneru piesaisti.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svītrots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Uzskaitījumu "atbalsta personāls (sētnieki, apkopēji, palīgstrādnieki)" lūdzam papildināt ar "biļešu kontrolieri, automobiļa vadītāji".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noteiktās amatu kategorijas, kurām piemēro projekta vadības personāla un īstenošanas personāla atlīdzības izmaksu vienoto likmi 20 procentu apmērā, ir saskaņotas ar Finanšu ministriju un projektu iesniedzējiem, savstarpēji  panākot vienošanos par tām amatu kategorijām, kuras projektu iesniedzēji iekļaus projektu iesniegumos zem 20 procentu vienotās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projekta vadības personāla un īstenošanas personāla apraksta lūdzam skaidrot, no kuras izmaksu pozīcijas tiks segtas Liepājas teātra aktieru un režisoru atlīdzības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jau ir norādītas uz projektu attiecināmās amatu kategorijas, kuras tiek ietvertas projekta vadības personāla un īstenošanas personāla atlīdzības izmaksu vienotajā likmē 20 procentu apmērā. Skaidrojam, ka Liepājas teātra štata aktieru un štata režisoru atalgojuma izmaksas nav plānotas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anotācijā norādīto teikumu </w:t>
            </w:r>
            <w:r w:rsidR="00000000" w:rsidRPr="00000000" w:rsidDel="00000000">
              <w:rPr>
                <w:i w:val="1"/>
                <w:rtl w:val="0"/>
              </w:rPr>
              <w:t xml:space="preserve">"Projekta vadības personāla un īstenošanas personāla vienotā likme 20 procentu apmērā piemērojama šādām amatu kategorijām [..] līdz ar to šīs amatu kategorijas vienlaikus nevar tikt apmaksātas ārpakalpojuma ietvaros.",</w:t>
            </w:r>
            <w:r w:rsidR="00000000" w:rsidRPr="00000000" w:rsidDel="00000000">
              <w:rPr>
                <w:rtl w:val="0"/>
              </w:rPr>
              <w:t xml:space="preserve"> svītrojot vārdu "vienlaikus", lai neradītu maldīgu priekšstatu, ka ir iespējami gadījumi, kad minēto amatu izmaksas varētu attiecināt projektā kā ārpakalpojumu.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finansējuma saņēmēja projekta vadības personāla un īstenošanas personāla atlīdzības izmaksas Projektā plānotas kā viena izmaksu pozīcija, piemērojot vienoto likmi 20 procentu apmērā no pārējām tiešajām attiecināmajām izmaksām, kas neietver projekta vadības personāla un īstenošanas personāla izmaksas. Projekta vadības personāla un īstenošanas personāla vienotā likme 20 procentu apmērā piemērojama šādām amatu kategorijām: valdes locekļi, direktori (programmas, tehniskie utt.), vadītāji (projekta vadītājs, mākslinieciskais vadītājs utt.), vadītāju asistenti, mārketinga, pārdošanas un sabiedrisko attiecību speciālisti, producenti, grāmatveži, juristi, lietvedības un arhīva personāls, klientu apkalpošanas operatori, ugunsdrošības inspektori, pārvaldnieki, atbalsta personāls (sētnieki, apkopēji, palīgstrādnieki), līdz ar to šīs amatu kategorijas nevar tikt apmaksātas ārpakalpojuma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Eiropas Komisijas 2021.gada 30.jūnija lēmuma Nr.C(2021) 4954 nosaukumu, dzēšot vārdu "final".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Komisijas 2021.gada 30.jūnija lēmumu Nr.C(2021) 4954, darbības programmas grozījumi ir apstiprināti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29.punktā ir noteikts, ka Projekta iesniedzējs māksliniecisko pasākuma plānu par 2022.gadu atbildīgajā iestādē iesniedz līdz 2022.gada 2.maijam un par 2023.gadu līdz 2022.gada 15.novembrim (..), lai nerastos pārpratumi, līdz kuram datumam ir jāiesniedz māksliniecisko pasākumu plāns, aicinām tekstu anotācijā salāgot ar noteikumu projektu, precizējot datumu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vērtēšanas kritēriju izskatīšana Uzraudzības komitejas rakstiskajā procedūrā ir noslēgusies, ierosinām aktualizēt anotācijā ietverto informāciju par projektu iensiegumu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"13.1.4.specifiskā atbalsta mērķa "Atveseļošanas pasākumi kultūras jomā” projektu iesniegumu vērtēšanas kritērijos tika ierosināti grozījumi, paredzot izdalīt atsevišķus kritēriju komplektus otrās un trešās projektu iesniegumu atlases kārtas projektu iesniegumu vērtēšanas kritērijos un tie tika apstiprināti ar Eiropas Savienības struktūrfondu un Kohēzijas fonda Uzraudzības komitejas 2022. gada 28.marta lēmumu Nr. L-L-2022/1.".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vadības un īstenošanas personāls neatkarīgi no līguma veida (darba līgums vai uzņēmuma līgums) sedzams no personāla izmaksu vienotās likmes un nedrīkst tikt iekļauts pārējās projekta tiešajās izmaksās, jo tas rada dubultā finansējuma risku, kā arī nevienlīdzīgu pieeju dažādiem finansējuma saņēmējiem. Tādēļ, CFLA ieskatā, anotācijā svarīgi definēt, kas ir uzskatāms par projekta vadības un īstenošanas personālu. Mūsuprāt, pie projekta vadības un īstenošanas personāla pieder arī biļešu kontrolieri, ar ko jau iepriekš esam lūguši papildināt anotācijā iekļauto uzskaitījumu, it īpaši ņemto vērā, ka ir koncertzāles, kurām tie ir štata darbinieki uz darba līgumu pamata un arī no SIA „Kurzemes filharmonija” jau bija saņemts jautājums tieši par biļešu kontrolieru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novērstu atšķirīgas interpretācijas iespējas, lūdzam papildināt anotācijā uzskaitīto projekta vadības un īstenošanas personālu uzskaitījumu ar: “[..] atbalsta personāls (sētnieki, apkopēji, palīgstrādnieki, biļešu kontrolieri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un īstenošanas personāla vienotā likme 20 procentu apmērā piemērojama šādām amatu kategorijām: valdes locekļi, direktori (programmas, tehniskie utt.), vadītāji (projekta vadītājs, mākslinieciskais vadītājs utt.), vadītāju asistenti, mārketinga, pārdošanas un sabiedrisko attiecību speciālisti, producenti, grāmatveži, juristi, lietvedības un arhīva personāls, klientu apkalpošanas operatori, ugunsdrošības inspektori, pārvaldnieki, atbalsta personāls (sētnieki, apkopēji, palīgstrādnieki, biļešu kontrolieri u.c.), līdz ar to šīs amatu kategorijas nevar tikt apmaksātas ārpakalpojuma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22-TA-459</w:t>
    </w:r>
    <w:r>
      <w:br/>
    </w:r>
    <w:r w:rsidR="00000000" w:rsidRPr="00000000" w:rsidDel="00000000">
      <w:rPr>
        <w:rtl w:val="0"/>
      </w:rPr>
      <w:t xml:space="preserve">08.04.2022. 15.12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22-TA-459</w:t>
    </w:r>
    <w:r>
      <w:br/>
    </w:r>
    <w:r w:rsidR="00000000" w:rsidRPr="00000000" w:rsidDel="00000000">
      <w:rPr>
        <w:rtl w:val="0"/>
      </w:rPr>
      <w:t xml:space="preserve">08.04.2022. 15.12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Izziņa_22-TA-459.docx</dc:title>
</cp:coreProperties>
</file>

<file path=docProps/custom.xml><?xml version="1.0" encoding="utf-8"?>
<Properties xmlns="http://schemas.openxmlformats.org/officeDocument/2006/custom-properties" xmlns:vt="http://schemas.openxmlformats.org/officeDocument/2006/docPropsVTypes"/>
</file>