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24-TA-2182: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Bīstamo iekārtu reģistra un tehniskās uzraudzības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Bīstamo iekārtu reģistra un tehniskās uzraudzības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noteikumu projekts pirmsšķietami tiek attiecināts arī uz bīstamo kravu apritē izmantojamām transportējamām spiedieniekārtām un autotransporta cisternām bīstamo kravu pārvadājumiem, konstatējams, ka projektā ir pretrunas ar starptautisko normatīvajiem aktiem bīstamo kravu aprites jomā (Nolīguma par bīstamo kravu starptautiskajiem pārvadājumiem ar autotransportu un Konvencijas par starptautiskajiem dzelzceļa pārvadājumiem (COTIF) C papildinājuma pielikums Bīstamo kravu starptautisko dzelzceļa pārvadājumu noteikumi)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primāri šajā jomā ievērot starptautiskās prasības un nacionālo regulējumu,kas nedrīkst būt pretrunā ar tām vai radīt papildu slogu bīstamo kravu aprites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2.punkts, nosakot, ka transportējamām spiedieniekārtām un autotransporta cisternām bīstamo kravu pārvadājumiem šo noteikumu prasības piemēro tikai attiecībā uz iekārtu reģistrāciju reģistrā un reģistra datu aktualizāciju.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Bīstamo iekārtu reģistra un tehniskās uzraudzības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likuma "Par bīstamo iekārtu tehnisko uzraudzību" 3.panta otro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tiesiskā pamatojuma norādi, jo atbilstoši projekta 1. punktam projektā nav ietverts regulējums, kas noteikts likuma "Par bīstamo iekārtu tehnisko uzraudzību" 3.panta otrās daļas 1.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tiesiskā pamatojuma norāde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likuma "Par bīstamo iekārtu tehnisko uzraudzību" 3. panta otrās daļas 2., 3., 4., 5., 6.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likuma "Par bīstamo iekārtu tehnisko uzraudzību" 3.panta otro daļu, Valsts informācijas sistēmu likuma 5.panta 1.</w:t>
            </w:r>
            <w:r w:rsidR="00000000" w:rsidRPr="00000000" w:rsidDel="00000000">
              <w:rPr>
                <w:vertAlign w:val="superscript"/>
                <w:rtl w:val="0"/>
              </w:rPr>
              <w:t xml:space="preserve">2</w:t>
            </w:r>
            <w:r w:rsidR="00000000" w:rsidRPr="00000000" w:rsidDel="00000000">
              <w:rPr>
                <w:rtl w:val="0"/>
              </w:rPr>
              <w:t xml:space="preserve"> daļu un Patērētāju tiesību aizsardzības likuma 25.</w:t>
            </w:r>
            <w:r w:rsidR="00000000" w:rsidRPr="00000000" w:rsidDel="00000000">
              <w:rPr>
                <w:vertAlign w:val="superscript"/>
                <w:rtl w:val="0"/>
              </w:rPr>
              <w:t xml:space="preserve">2</w:t>
            </w:r>
            <w:r w:rsidR="00000000" w:rsidRPr="00000000" w:rsidDel="00000000">
              <w:rPr>
                <w:rtl w:val="0"/>
              </w:rPr>
              <w:t xml:space="preserve">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projektā "Bīstamo iekārtu reģistra un tehniskās uzraudzības noteikumi" (turpmāk - projekts) kā tā izdošanas tiesiskais pamats cita starp norādīts Patērētāju tiesību aizsardzības likuma 25.</w:t>
            </w:r>
            <w:r w:rsidR="00000000" w:rsidRPr="00000000" w:rsidDel="00000000">
              <w:rPr>
                <w:vertAlign w:val="superscript"/>
                <w:rtl w:val="0"/>
              </w:rPr>
              <w:t xml:space="preserve">2</w:t>
            </w:r>
            <w:r w:rsidR="00000000" w:rsidRPr="00000000" w:rsidDel="00000000">
              <w:rPr>
                <w:rtl w:val="0"/>
              </w:rPr>
              <w:t xml:space="preserve"> pants  un Valsts informācijas sistēmu likuma 5. panta 1.</w:t>
            </w:r>
            <w:r w:rsidR="00000000" w:rsidRPr="00000000" w:rsidDel="00000000">
              <w:rPr>
                <w:vertAlign w:val="superscript"/>
                <w:rtl w:val="0"/>
              </w:rPr>
              <w:t xml:space="preserve">2</w:t>
            </w:r>
            <w:r w:rsidR="00000000" w:rsidRPr="00000000" w:rsidDel="00000000">
              <w:rPr>
                <w:rtl w:val="0"/>
              </w:rPr>
              <w:t xml:space="preserve"> daļa. Vēršam uzmanību, ka pašlaik spēkā esoši ir Ministru kabineta 2024. gada 23. aprīļa noteikumi Nr. 256 "Patērētāju tiesību aizsardzības centra lietu pārvaldības un bīstamo iekārtu reģistrācijas valsts informācijas sistēmas noteikumi" (turpmāk – noteikumi Nr. 256), kuru izdošanas tiesiskais pamats ir abas iepriekš minētās normas. Lūdzam minētās projekta tiesiskā pamatojuma norādes izvērtēt un ja nepieciešams svītrot, lai projektā neveidotu dublējošu regulējumu ar noteikumiem Nr. 256 vai sniegt attiecīgu skaidrojumu tiesību akta projekta "Bīstamo iekārtu reģistra un tehniskās uzraudzības noteikumi" sākotnējās ietekmes (ex-ante) novērtējuma ziņojumā (turpmāk – anotācija), kādā apjomā projektā ir iekļauts regulējums, ko paredz iepriekš minētās normas.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likuma "Par bīstamo iekārtu tehnisko uzraudzību" 3. panta otrās daļas 2., 3., 4., 5., 6.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"Grozījumi likumā “Par bīstamo iekārtu tehnisko uzraudzību"" (Reģ. Nr.685/Lp14) (turpmāk – likuma grozījumi), kas Saeimā 2024. gada 19. decembrī pieņemts trešajā lasījumā, 2. pants paredz likuma "Par bīstamo iekārtu tehnisko uzraudzību" (turpmāk - likums) 3. panta otro daļu izteikt šādā redakcijā: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bīstamās iekārtas, to klasifikāciju, izņēmumus atbilstoši iekārtu uzbūvei un funkcionalitātei;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būtiskās bīstamo iekārtu drošības prasības un prasības, kas jāievēro, organizējot un veicot darbus ar bīstamajām iekārtām;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bīstamo iekārtu tehniskās uzraudzības prasības un kārtību, tajā skaitā prasības un pienākumus pārbaudes veicējiem;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bīstamo iekārtu valdītāja pienākumus attiecībā uz datu ievadi un aktualizāciju bīstamo iekārtu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bīstamās iekārtas pārbaudes zīmes paraugu;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kārtību, kādā bīstamās iekārtas reģistrē bīstamo iekārtu reģistrā un izslēdz no tā, un kārtību, kādā šajā reģistrā ievada informāciju par bīstamajām iekārtām.”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jaunajai likuma 3. panta otrās daļas redakcijai, lūdzam pārskatīt un precizēt projekta 1. punktu, lai tajā tiktu paredzēts tas tiesiskais regulējums, kas izriet no šīs normas, kā tas noteikts Ministru kabineta 2009. gada 3. februāra noteikumu Nr. 108 "Normatīvo aktu projektu sagatavošanas noteikumi" 100.2. apakšpunktā. Ja gadījumā regulējums, kas paredzēts projekta tiesiskā pamatojuma normā (likuma 3. panta otrās daļas jaunā redakcija) netiek pilnībā pārņemts ar projektu, lūdzam projekta anotācijas 4. sadaļā sniegt izvērstu un pamatotu skaidrojumu par visiem normatīvajiem aktiem, ar kuriem minētais regulējums tiks pārņemts un kādā apjomā.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1.punkts un anotācijas 4.sadaļa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Šo noteikumu 1.1.apakšpunktu piemēro kopā ar normatīvajiem aktiem par tehniskās uzraudzības prasībām konkrētam bīstamo iekārtu veidam (turpmāk – speciālie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 punktu, jo šādi izteikta norma nesniedz tiesisko skaidrību par projekta 2.punktā paredzētā regulējuma tvērumu. Ievērojot minēto, piedāvājam svītrot iekšējo atsauci uz noteikumu 1.1. apakšpunktu, bet normā nepieciešamo regulējumu atbilstoši likuma pilnvarojumam izteikt izvērsta teksta veidā.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Šo noteikumu prasības konkrētam bīstamo iekārtu veidam piemēro tiktāl, ciktāl normatīvajos aktos par tehniskās uzraudzības prasībām konkrētam bīstamo iekārtu veidam (turpmāk – speciālie noteikumi) nav noteikts citādāk. Bīstamajām iekārtām, kuras ir arī Bīstamo kravu aprites likuma minētie bīstamo kravu apritē izmantojamie pārvadāšanas līdzekļi, ja tie speciālajos noteikumos tiek klasificēti kā bīstamās iekārtas, šo noteikumu prasības piemēro tikai attiecībā uz šo iekārtu reģistrāciju reģistrā un reģistra datu aktualizāciju.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Šo noteikumu 1.1.apakšpunktu piemēro kopā ar normatīvajiem aktiem par tehniskās uzraudzības prasībām konkrētam bīstamo iekārtu veidam (turpmāk – speciālie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vai noteikumu projektā sniegt detalizētāku skaidrojumu terminam "speciālie noteikumi", kas ļautu izvairīties no dažādas šī termina izpratnes un pielietošanas.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Šo noteikumu prasības konkrētam bīstamo iekārtu veidam piemēro tiktāl, ciktāl normatīvajos aktos par tehniskās uzraudzības prasībām konkrētam bīstamo iekārtu veidam (turpmāk – speciālie noteikumi) nav noteikts citādāk. Bīstamajām iekārtām, kuras ir arī Bīstamo kravu aprites likuma minētie bīstamo kravu apritē izmantojamie pārvadāšanas līdzekļi, ja tie speciālajos noteikumos tiek klasificēti kā bīstamās iekārtas, šo noteikumu prasības piemēro tikai attiecībā uz šo iekārtu reģistrāciju reģistrā un reģistra datu aktualizāciju.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Patērētāju tiesību aizsardzības centrs ir tiesīgs iegūt nepieciešamos datus no traktortehnikas un tās vadītāju informatīvās sistēmas un transportlīdzekļu un to vadītāju valsts reģistra par reģistrā reģistrētu traktortehniku vai transportlīdzekli.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definēt konkrētu Patērētāju tiesību aizsardzības centra funkciju izpildei nepieciešamo iegūstamo datu apjomu. Uzskatām, ka piekļuve  transportlīdzekļu un to vadītāju valsts reģistra datu bāzei pilnā apjomā ir nesamērīga un ir arī pretrunā ar personas datu aizsardzības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6.punkts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Patērētāju tiesību aizsardzības centrs ir tiesīgs iegūt datus no traktortehnikas un tās vadītāju informatīvās sistēmas un transportlīdzekļu un to vadītāju valsts reģistra par reģistrā reģistrētās traktortehnikas vai transportlīdzekļa piešķirto reģistrācijas numuru.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Atbilstoši normatīvajiem aktiem par apdrošināšanas līgumu inspicēšanas institūcija ir apdrošinājusi savu civiltiesisko atbildību normatīvajos aktos bīstamo iekārtu jomā noteikto pienākumu īstenošanai par institūcijas darbības vai bezdarbības dēļ radītajiem zaudējumiem trešajai personai. Inspicēšanas institūcija, noslēdzot apdrošināšanas līgumu, ir sniegusi apdrošinātājam visu informāciju par savas darbības jomu un apstākļiem, lai apdrošinātājs varētu izvērtēt riska iestāšanās iespējamību un novērtēt iespējamā zaudējuma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(LAA - 29.01.2025.)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Ministru kabineta noteikumu Nr.1376 "Kārtība, kādā izveido paziņošanas komisiju, kā arī kārtība, kādā komisija pieņem lēmumu un paziņo Eiropas Komisijai par atbilstības novērtēšanas institūcijām, kas veic atbilstības novērtēšanu reglamentētajā sfērā" normas nav attiecināmas uz šo noteikumu projektu un inspicēšanas institūcijām, LAA aicina: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papildināt noteikumu projektu, nosakot atbildības limitu vai tā noteikšanas principus, kā arī atlīdzināmos zaudējumus,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izslēgt Noteikumu projekta 15.punkta 2.teikumu, </w:t>
            </w:r>
            <w:r w:rsidR="00000000" w:rsidRPr="00000000" w:rsidDel="00000000">
              <w:rPr>
                <w:rtl w:val="0"/>
              </w:rPr>
              <w:t xml:space="preserve">jo apdrošināšanas līguma noslēgšanas kārtību, tai skaitā informācijas pieprasīšanu riska novērtēšanai, līguma noslēgšanu un tiesiskās sekas nosaka Apdrošināšanas līguma likums.  Atbildības limitu un atlīdzināmos zaudējumus obligātās  apdrošināšanas gadījumā nosaka likumdevējs.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 papildinot projektu ar 15., 16., 17. un 18.punktu.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Inspicēšanas institūcijām visā tā darbības laikā, kad tiek veikta inspicēšana reglamentētajā sfērā, minimālais profesionālās civiltiesiskās atbildības apdrošināšanas limits apdrošināšanas periodā ir 115 Latvijā noteikto minimālo mēneša darba algu apmērā.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Atbilstoši normatīvajiem aktiem par apdrošināšanas līgumu inspicēšanas institūcija ir apdrošinājusi savu civiltiesisko atbildību normatīvajos aktos bīstamo iekārtu jomā noteikto pienākumu īstenošanai par institūcijas darbības vai bezdarbības dēļ radītajiem zaudējumiem trešajai personai. Inspicēšanas institūcija, noslēdzot apdrošināšanas līgumu, ir sniegusi apdrošinātājam visu informāciju par savas darbības jomu un apstākļiem, lai apdrošinātājs varētu izvērtēt riska iestāšanās iespējamību un novērtēt iespējamā zaudējuma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(LAA - 03.01.2025.)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LAA ieskatā uz noteikumu projektā noteikto inspicēšanas institūciju attiecas Ministru kabineta noteikumi Nr.1376  “Kārtība, kādā izveido paziņošanas komisiju, kā arī kārtība, kādā komisija pieņem lēmumu un paziņo Eiropas Komisijai par atbilstības novērtēšanas institūcijām, kas veic atbilstības novērtēšanu reglamentētajā sfērā”, kurā ir paredzēti noteikumi par atbildības apdrošināšanu,  un attiecīgi šajos MK noteikumos “Bīstamo iekārtu reģistra un tehniskās uzraudzības noteikumi” nav nepieciešams CTA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15.punktu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Ministru kabineta noteikumos Nr.1376 "Kārtība, kādā izveido paziņošanas komisiju, kā arī kārtība, kādā komisija pieņem lēmumu un paziņo Eiropas Komisijai par atbilstības novērtēšanas institūcijām, kas veic atbilstības novērtēšanu reglamentētajā sfērā" noteikts, ka </w:t>
            </w:r>
            <w:r w:rsidR="00000000" w:rsidRPr="00000000" w:rsidDel="00000000">
              <w:rPr>
                <w:u w:val="single"/>
                <w:rtl w:val="0"/>
              </w:rPr>
              <w:t xml:space="preserve">Eiropas Komisijai paziņotajām atbilstības novērtēšanas institūcijām</w:t>
            </w:r>
            <w:r w:rsidR="00000000" w:rsidRPr="00000000" w:rsidDel="00000000">
              <w:rPr>
                <w:rtl w:val="0"/>
              </w:rPr>
              <w:t xml:space="preserve">, kad tiek veikta atbilstības novērtēšana reglamentētajā sfērā piemēro atbildības apdrošināšanas limitu. Savukārt likuma "Par bīstamo iekārtu tehnisko uzraudzību" izpratnē </w:t>
            </w:r>
            <w:r w:rsidR="00000000" w:rsidRPr="00000000" w:rsidDel="00000000">
              <w:rPr>
                <w:u w:val="single"/>
                <w:rtl w:val="0"/>
              </w:rPr>
              <w:t xml:space="preserve">inspicēšanas institūcija ir atbilstības novērtēšanas institūcija, kas netiek paziņota Eiropas Komisijai,</w:t>
            </w:r>
            <w:r w:rsidR="00000000" w:rsidRPr="00000000" w:rsidDel="00000000">
              <w:rPr>
                <w:rtl w:val="0"/>
              </w:rPr>
              <w:t xml:space="preserve"> līdz ar to MK noteikumu Nr.1376 normas nav attiecināmas uz šo noteikumu projektu un inspicēšanas institūcijām.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Inspicēšanas institūcijām visā tā darbības laikā, kad tiek veikta inspicēšana reglamentētajā sfērā, minimālais profesionālās civiltiesiskās atbildības apdrošināšanas limits apdrošināšanas periodā ir 115 Latvijā noteikto minimālo mēneša darba algu apmērā.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43.3. Vērtējumus 2 – būtiskas neatbilstības, kas var radīt draudus. Pamatpārbaudē bīstamajai iekārtai tiek dota pagaidu lietošanas atļauja 30 dienas no pārbaudes pabeigšanas dienas, kuru laikā novērš konstatētās neatbilstības un veic vienreizēju atkārtoto tehnisko pārbaudi. Papildu pārbaudē bīstamās iekārtas turpmāka lietošana nav atļauta līdz novērstas konstatētās neatbilstības un veikta kārtējā tehniskā pārbaude;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(LDTA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Bīstamā iekārta likuma izpratnē  ir visa degvielas uzpildes stacija, savukārt saskaņā ar noteikumu projekta 41.p. pārbaudē vispirms novērtē bīstamās iekārtas atsevišķo elementu atbilstību  šo noteikumu 2. nodaļā noteiktajām prasībām, kuras aptver attiecīgos novērtēšanai pakļautos iekārtas elementus un katru pārbaudīto iekārtas elementu novērtē ar kādu no šo noteikumu 43. punktā noteikto vērtējumu.  Līdz ar to izlasāms, ja kādam  no elementiem konstatē neatbilstības, tiek ierobežota visas bīstamās iekārtas, t.i. degvielas uzpildes stacijas, lietošana, bet tas nav samērīgi, lietderīgāk un saprātīgāk būtu ierobežot bīstamās iekārtas attiecīgā elementa lietošanu.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43.3. Vērtējumus 2 – būtiskas neatbilstības, kas var radīt draudus. Pamatpārbaudē bīstamās iekārtas </w:t>
            </w:r>
            <w:r w:rsidR="00000000" w:rsidRPr="00000000" w:rsidDel="00000000">
              <w:rPr>
                <w:b w:val="1"/>
                <w:rtl w:val="0"/>
              </w:rPr>
              <w:t xml:space="preserve">elementam, kam konstatēta būtiska neatbilstība</w:t>
            </w:r>
            <w:r w:rsidR="00000000" w:rsidRPr="00000000" w:rsidDel="00000000">
              <w:rPr>
                <w:rtl w:val="0"/>
              </w:rPr>
              <w:t xml:space="preserve">, tiek dota pagaidu lietošanas atļauja 30 dienas no pārbaudes pabeigšanas dienas, kuru laikā novērš konstatētās neatbilstības un veic vienreizēju atkārtoto tehnisko pārbaudi. Papildu pārbaudē bīstamās iekārtas </w:t>
            </w:r>
            <w:r w:rsidR="00000000" w:rsidRPr="00000000" w:rsidDel="00000000">
              <w:rPr>
                <w:b w:val="1"/>
                <w:rtl w:val="0"/>
              </w:rPr>
              <w:t xml:space="preserve">elementa</w:t>
            </w:r>
            <w:r w:rsidR="00000000" w:rsidRPr="00000000" w:rsidDel="00000000">
              <w:rPr>
                <w:rtl w:val="0"/>
              </w:rPr>
              <w:t xml:space="preserve"> turpmāka lietošana nav atļauta līdz novērstas konstatētās neatbilstības un veikta kārtējā tehniskā pārbaude;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projekta 2.punktā noteikta norma, kas </w:t>
            </w:r>
            <w:r w:rsidR="00000000" w:rsidRPr="00000000" w:rsidDel="00000000">
              <w:rPr>
                <w:u w:val="single"/>
                <w:rtl w:val="0"/>
              </w:rPr>
              <w:t xml:space="preserve">nosaka, ka šo noteikumu prasības konkrētam bīstamo iekārtu veidam piemēro tiktāl, ciktāl normatīvajos aktos par tehniskās uzraudzības prasībām konkrētam bīstamo iekārtu veidam nav noteikts citādāk</w:t>
            </w:r>
            <w:r w:rsidR="00000000" w:rsidRPr="00000000" w:rsidDel="00000000">
              <w:rPr>
                <w:rtl w:val="0"/>
              </w:rPr>
              <w:t xml:space="preserve">. Tādēļ, stājoties spēkā noteikumu projektam, gadījumā, ja degvielas uzpildes stacijai inspicēšanas institūcija konstatē neatbilstības, tad uz tām attieksies Ministru kabineta 2001.gada 20.februāra noteikumos Nr.74 "Prasības degvielas uzpildes staciju tehnoloģiskajām iekārtām un iekārtu tehniskās uzraudzības kārtība" noteiktās prasības, kā jau tas šobrīd noteikts. Papildus vēršam uzmanību, ka noteikumu projektā noteiktās prasības attiecas uz visām bīstamām iekārtām, izņemot, gadījumā, ja konkrētai bīstamai iekārtai specifiskās prasības ir noteiktas speciālos noteikumos, līdz ar to, LDTA piedāvātā redakcija attiektos tikai uz degvielas uzpildes stacijām, maģistrālajiem cauruļvadiem, SNG balonu uzpildes stacijām, bet ir tādas bīstamās iekārtas, kā, piemēram, lifti, kravas celtņi, pacēlāji, kas pēc būtības sastāv tikai no vienas iekārtas.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46.3. Vērtējumus 2 – būtiskas neatbilstības, kas var radīt draudus. Pamatpārbaudē bīstamajai iekārtai tiek dota pagaidu lietošanas atļauja 30 dienas no pārbaudes pabeigšanas dienas, kuru laikā novērš konstatētās neatbilstības un veic vienreizēju atkārtoto tehnisko pārbaudi. Papildu pārbaudē bīstamās iekārtas turpmāka lietošana nav atļauta līdz novērstas konstatētās neatbilstības un veikta kārtējā tehniskā pārbaude;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 Vērtējums 3 – bīstamas neatbilstības, kas rada tiešus draudus. Bīstamās iekārtas turpmāka lietošana nav atļauta līdz novērstas konstatētās neatbilstības un veikta kārtējā tehniskā pārbaude.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(LDTA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Bīstamā iekārta likuma izpratnē  ir visa degvielas uzpildes stacija, savukārt saskaņā ar noteikumu projekta 41.p. pārbaudē vispirms novērtē bīstamās iekārtas atsevišķo elementu atbilstību  šo noteikumu 2. nodaļā noteiktajām prasībām, kuras aptver attiecīgos novērtēšanai pakļautos iekārtas elementus un katru pārbaudīto iekārtas elementu novērtē ar kādu no šo noteikumu 43. punktā noteikto vērtējumu.  Līdz ar to izlasāms, ja kādam  no elementiem konstatē neatbilstības, tiek ierobežota visas bīstamās iekārtas, t.i. degvielas uzpildes stacijas, lietošana, bet tas nav samērīgi, lietderīgāk un saprātīgāk būtu ierobežot bīstamās iekārtas attiecīgā elementa lietošanu.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 Vērtējums 3 – bīstamas neatbilstības, kas rada tiešus draudus. Bīstamās iekārtas </w:t>
            </w:r>
            <w:r w:rsidR="00000000" w:rsidRPr="00000000" w:rsidDel="00000000">
              <w:rPr>
                <w:b w:val="1"/>
                <w:rtl w:val="0"/>
              </w:rPr>
              <w:t xml:space="preserve">elementa</w:t>
            </w:r>
            <w:r w:rsidR="00000000" w:rsidRPr="00000000" w:rsidDel="00000000">
              <w:rPr>
                <w:rtl w:val="0"/>
              </w:rPr>
              <w:t xml:space="preserve"> turpmāka lietošana nav atļauta līdz novērstas konstatētās neatbilstības un veikta kārtējā tehniskā pārbaude.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projekta 2.punktā noteikta norma, kas nosaka, ka šo noteikumu prasības konkrētam bīstamo iekārtu veidam piemēro tiktāl, ciktāl normatīvajos aktos par tehniskās uzraudzības prasībām konkrētam bīstamo iekārtu veidam nav noteikts citādāk. Tādēļ, stājoties spēkā noteikumu projektam, gadījumā, ja degvielas uzpildes stacijai inspicēšanas institūcija konstatē neatbilstības, tad uz tām attieksies Ministru kabineta 2001.gada 20.februāra noteikumos Nr.74 "Prasības degvielas uzpildes staciju tehnoloģiskajām iekārtām un iekārtu tehniskās uzraudzības kārtība" noteiktās prasības, kā jau tas šobrīd noteikts. Papildus vēršam uzmanību, ka noteikumu projektā noteiktās prasības attiecas uz visām bīstamām iekārtām, izņemot, gadījumā, ja konkrētai bīstamai iekārtai specifiskās prasības ir noteiktas speciālos noteikumos, līdz ar to, LDTA piedāvātā redakcija attiektos tikai uz degvielas uzpildes stacijām, maģistrālajiem cauruļvadiem, SNG balonu uzpildes stacijām, bet ir tādas bīstamās iekārtas, kā, piemēram, lifti, kravas celtņi, pacēlāji, kas pēc būtības sastāv tikai no vienas iekārtas.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46.4. Vērtējums 3 – bīstamas neatbilstības, kas rada tiešus draudus. Bīstamās iekārtas turpmāka lietošana nav atļauta līdz novērstas konstatētās neatbilstības un veikta kārtējā tehniskā pārbaude.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inspicēšanas institūcija aktualizē iekārtas reģistra datus reģistrā, veicot ierakstu "Veikta datu salīdzināšana" šo noteikumu 22.5.apakšpunktā noteiktajā iekārtas reģistrācijas datu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projektā "Bīstamo iekārtu reģistra un tehniskās uzraudzības noteikumi"  10.3.apakšpunktā ir jāsvītro  22.5.apakšpunkts, jo tāds neeksistē, un jāpapildina ar 23.5.apakšpunktu.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inspicēšanas institūcija aktualizē iekārtas reģistra datus reģistrā, veicot ierakstu "Veikta datu salīdzināšana" šo noteikumu 26.5.apakšpunktā noteiktajā iekārtas reģistrācijas datu sadaļā.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 aktualizēt informāciju par reģistrā reģistrētas bīstamās iekārtas lietošanas pārtraukšanu uz laiku un lietošanas atsākšanu, piešķirot vai atceļot iekārtas statusu uz laiku noņemts no reģistra.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19.4. apakšpunktu izteikt atbilstoši piedāvātajai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 aktualizēt informāciju par reģistrā reģistrētas bīstamās iekārtas lietošanas pārtraukšanu uz laiku un lietošanas atsākšanu, piešķirot vai atceļot iekārtas statusu “Uz laiku noņemts no reģistra".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aktualizēt informāciju par reģistrā reģistrētas bīstamās iekārtas lietošanas pārtraukšanu uz laiku un lietošanas atsākšanu, piešķirot vai atceļot iekārtas statusu "Uz laiku noņemts no reģistra".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Bīstamo iekārtu izslēdz no reģistra, ja attiecīgā iekārta: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tvērums ierobežots ar bīstamo iekārtu uzraudzību no brīža, kad tā tiek reģistrēta reģistrā, līdz brīdim, kad tā tiek izslēgta no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bīstamo iekārtu tehnisko uzraudzību” 1. panta 1.punktam bīstamās iekārtas ir iekārtas un to kompleksi, kas neatbilstošas lietošanas un uzturēšanas rezultātā var apdraudēt cilvēku dzīvību un veselību, vidi un materiālās vērtības un kas to lietošanas laikā ir pakļautas šajā likumā noteiktajai valsts uzraudzībai un kontrolei un normatīvajos aktos noteiktajām pārbaudēm.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34. punkta nosacījumus par bīstamo iekārtu izslēgšanu no reģistra papildināt atbilstoši likumā “Par bīstamo iekārtu tehnisko uzraudzību” noteiktajam, lai bīstamās iekārtas pēc to izslēgšanas no bīstamo iekārtu reģistra vairs neapdraudētu cilvēku dzīvību un veselību, vidi un materiālās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likumā "Par bīstamo iekārtu tehnisko uzraudzību" noteiktajam deleģējumam, noteikumu projektā ir noteikti visi iespējamie nosacījumi, pie kādiem bīstamās iekārtas tiek izslēgtas no reģistra.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Bīstamo iekārtu izslēdz no reģistra, ja attiecīgā iekārta: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 fiziski vairs nepastāv;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iespēju, ka bīstamā iekārta var tikt izslēgta no bīstamo iekārtu reģistra, ja attiecīgā iekārta fiziski vairs nepastāv, nenodrošinot tās tālāko uzraudzību, vai bīstamā iekārta neapdraud cilvēku dzīvību un veselību, vidi un materiālās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34.1 apakšpunktu izteikt atbilstoši piedāvātajai redakcijai.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 fiziski vairs nepastāv un ir nodota lūžņos, uzrādīts apliecinājums no sertificēta lūžņu saņēmēja, par attiecīgās bīstamās iekārtas pārstrādi;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lietošanā esošās bīstamās iekārtas var būt dažāda veida un valdītājam ir iespējams pierādīt par iekārtas fizisku nepastāvēšanu arī citos veidos, kā, piemēram, ne visas iekārtas ir nododamas metāllūžņos vai iekārta (rezervuārs) pirms aizvešanas tiek sadalīta pa daļām. Tādēļ atkarībā no iekārtu veida, ir dažādi arī iekārtu utilizācijas veidi.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papildināts par dokumentāriem apliecinājumiem.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 fiziski vairs nepastāv;</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 pārbūves dēļ (izmainīta iekārtas uzbūve, tehniskie raksturlielumi, funkcionalitāte) neatbilst attiecīgajai iekārtai piemērojamos speciālajos noteikumos noteiktajai klasifikācijai;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bīstamā iekārta tās pārbūves dēļ, tas ir neatbilstošas lietošanas un uzturēšanas rezultātā, var tikt izslēgta no bīstamo iekārtu reģistra, nenodrošinot tās tālāko uzraudzību, vai bīstamā iekārta neapdraud cilvēku dzīvību un veselību, vidi un materiālās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34.2 apakšpunktu izteikt atbilstoši piedāvātajai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 pārbūves dēļ (izmainīta iekārtas uzbūve, tehniskie raksturlielumi, funkcionalitāte) neatbilst attiecīgajai iekārtai piemērojamos speciālajos noteikumos noteiktajai klasifikācijai, ja tiek izpildīti šo noteikumu 34.1. apakšpunktā minētie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34.2. apakšpunkts paredz no reģistra izslēgt tādas bīstamās iekārtas, kuras pārbūves rezultātā vairs neklasificējas kā bīstamās iekārtas un uz tām nav attiecināms bīstamo iekārtu regulējums. Turklāt šādu iekārtu turpmāka lietošana ir pieļaujama, piemēram, ievērojot, prasības attiecībā uz darba aprīkojumu.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papildināts par dokumentāriem apliecinājumiem.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37.2. pārbūves dēļ (izmainīta iekārtas uzbūve, tehniskie raksturlielumi, funkcionalitāte) neatbilst attiecīgajai iekārtai piemērojamos speciālajos noteikumos noteiktajai klasifikācijai;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34.3. vairs nav paredzēta lietošanai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34.3. apakšpunktu izteikt atbilstoši piedāvātajai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34.3. vairs nav paredzēta lietošanai Latvijas teritorijā un izvesta no Latvijas teritorijas, ko apliecina eksporta deklarācija vai transportēšanas dokuments par bīstamās iekārtas izvešanu no Latvijas teritorijas;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35.punktā ir noteikts, ka valdītājs iesniedz pieteikumu inspicēšanas institūcijai par to, ka iekārta vairs nav paredzēta lietošanai Latvijas teritorijā, pievienojot dokumentālus apliecinājumus.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papildināts par dokumentāriem apliecinājumiem.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37.3. vairs nav paredzēta lietošanai Latvijas teritorijā;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34.4. noteikumu 10.punktā noteiktajā iekārtas datu salīdzināšanā atzīta par neidentificējamu vai bez apliecinājumiem par atbilstību.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bīstamā iekārta, ja tā ir neidentificējama vai bez apliecinājuma par atbilstību, tas ir neatbilstošas lietošanas un uzturēšanas rezultātā, var tikt izslēgta no bīstamo iekārtu reģistra, nenodrošinot tās tālāko uzraudzību, vai bīstamā iekārta neapdraud cilvēku dzīvību un veselību, vidi un materiālās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34.4 apakšpunktu izteikt atbilstoši piedāvātajai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34.4. noteikumu 10. punktā noteiktajā iekārtas datu salīdzināšanā atzīta par neidentificējamu vai bez apliecinājumiem par atbilstību, ja tiek izpildīti šo noteikumu 34.1. apakšpunktā minētie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34.4.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37.4. noteikumu 10.punktā noteiktajā iekārtas datu salīdzināšanā atzīta par neidentificējamu vai bez apliecinājumiem par atbilstību, ja tiek izpildīti šo noteikumu 37.1. vai 37.3. apakšpunktos minētie nosacījumi.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projekta regulējumu un anotācijā sniegto skaidrojumu par to, proti, lūdzam precizēt anotācijas 1.1. sadaļā "Apraksts" un 1.3. sadaļā "Pašreizējā situācija" iekļauto informāciju, paredzot, ka projekta deleģējums ir likuma "Par bīstamo iekārtu tehnisko uzraudzību" 3. panta otrās daļas 2., 3., 4., 5., 6.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24-TA-2182</w:t>
    </w:r>
    <w:r>
      <w:br/>
    </w:r>
    <w:r w:rsidR="00000000" w:rsidRPr="00000000" w:rsidDel="00000000">
      <w:rPr>
        <w:rtl w:val="0"/>
      </w:rPr>
      <w:t xml:space="preserve">17.02.2025. 16.17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24-TA-2182</w:t>
    </w:r>
    <w:r>
      <w:br/>
    </w:r>
    <w:r w:rsidR="00000000" w:rsidRPr="00000000" w:rsidDel="00000000">
      <w:rPr>
        <w:rtl w:val="0"/>
      </w:rPr>
      <w:t xml:space="preserve">17.02.2025. 16.17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Izziņa_24-TA-2182.docx</dc:title>
</cp:coreProperties>
</file>

<file path=docProps/custom.xml><?xml version="1.0" encoding="utf-8"?>
<Properties xmlns="http://schemas.openxmlformats.org/officeDocument/2006/custom-properties" xmlns:vt="http://schemas.openxmlformats.org/officeDocument/2006/docPropsVTypes"/>
</file>