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21-TA-535: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5. septembra noteikumos Nr. 537 "Noteikumi par portfeļgarantijām sīko (mikro), mazo un vidējo saimnieciskās darbības veicēju – juridisko personu – kreditēšanas veicināšanai"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19.3.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kas ietverts izziņas 2.punktā.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skaidrojam, ka, izstrādājot </w:t>
            </w:r>
            <w:r w:rsidR="00000000" w:rsidRPr="00000000" w:rsidDel="00000000">
              <w:rPr>
                <w:i w:val="1"/>
                <w:rtl w:val="0"/>
              </w:rPr>
              <w:t xml:space="preserve">Ministru kabineta 2017.gada 5.septembra noteikumus Nr.537 "Noteikumi par portfeļgarantijām sīko (mikro), mazo un vidējo saimnieciskās darbības veicēju – juridisko personu – kreditēšanas veicināšanai"</w:t>
            </w:r>
            <w:r w:rsidR="00000000" w:rsidRPr="00000000" w:rsidDel="00000000">
              <w:rPr>
                <w:rtl w:val="0"/>
              </w:rPr>
              <w:t xml:space="preserve"> (turpmāk - MK noteikumi Nr.537) un paredzot tajos specifiskos nosacījumus attiecībā uz kredītiestādēm un to atlasi, tika nodrošināts, ka to līmenī tiek izslēgts komercdarbības atbalsts, ņemot vērā, ka bija paredzēts tās izvēlēties atklātā, pārredzamā, nediskriminējošā un objektīvā atlases procedūrā, tādējādi izslēdzot komercdarbības atbalstu raksturojošo pazīmi - ekonomisko priekšrocību (aicinām skatīt MK noteikumu Nr.537 pamata anotāciju (tajā minēts, piemēram, ka "</w:t>
            </w:r>
            <w:r w:rsidR="00000000" w:rsidRPr="00000000" w:rsidDel="00000000">
              <w:rPr>
                <w:i w:val="1"/>
                <w:rtl w:val="0"/>
              </w:rPr>
              <w:t xml:space="preserve">atlase ir atklāta, Sabiedrība Altum pirms atlases izsludināšanas par nosacījumiem informēs Latvijas Komercbanku asociāciju, </w:t>
            </w:r>
            <w:r w:rsidR="00000000" w:rsidRPr="00000000" w:rsidDel="00000000">
              <w:rPr>
                <w:b w:val="1"/>
                <w:i w:val="1"/>
                <w:rtl w:val="0"/>
              </w:rPr>
              <w:t xml:space="preserve">lai par nosacījumiem laicīgi būtu informēti visu tirgus dalībnieki un pirms atlases izsludināšanas nosacījumi būtu skaidri un saprotami,</w:t>
            </w:r>
            <w:r w:rsidR="00000000" w:rsidRPr="00000000" w:rsidDel="00000000">
              <w:rPr>
                <w:rtl w:val="0"/>
              </w:rPr>
              <w:t xml:space="preserve">" un ka "</w:t>
            </w:r>
            <w:r w:rsidR="00000000" w:rsidRPr="00000000" w:rsidDel="00000000">
              <w:rPr>
                <w:i w:val="1"/>
                <w:rtl w:val="0"/>
              </w:rPr>
              <w:t xml:space="preserve">Finanšu iestādes līmenī nav valsts atbalsts, ja finanšu iestāde atlasītā atklātā, pārredzamā, nediskriminējošā atlasē;</w:t>
            </w:r>
            <w:r w:rsidR="00000000" w:rsidRPr="00000000" w:rsidDel="00000000">
              <w:rPr>
                <w:rtl w:val="0"/>
              </w:rPr>
              <w:t xml:space="preserve"> [..].”). Skaidrojam, ka nevaram piekrist izziņas 2.punktā ietvertajai informācijai, ka plānotās </w:t>
            </w:r>
            <w:r w:rsidR="00000000" w:rsidRPr="00000000" w:rsidDel="00000000">
              <w:rPr>
                <w:i w:val="1"/>
                <w:rtl w:val="0"/>
              </w:rPr>
              <w:t xml:space="preserve">izmaiņas nerada ekonomiskās priekšrocības kredītiestādēm, bet nodrošina finanšu instrumentu atbalsta piešķiršanas nepārtrauktību</w:t>
            </w:r>
            <w:r w:rsidR="00000000" w:rsidRPr="00000000" w:rsidDel="00000000">
              <w:rPr>
                <w:rtl w:val="0"/>
              </w:rPr>
              <w:t xml:space="preserve">, jo, paredzot principa "divi + divi gadi" neievērošanu, tiktu pārkāpti sākotnējie kredītiestāžu atlases nosacījumi, par kuriem bija informēti visi tirgus dalībnieki. Ņemot vērā, ka kredītiestāžu atlases nosacījumi, par ko tika informēti visi tirgus dalībnieki un kas pretendēja uz iespēju sniegt portfeļgarantijas šīs atbalsta programmas ietvaros, paredzēja iespēju pagarināt portfeļgarantiju izsniegšanu </w:t>
            </w:r>
            <w:r w:rsidR="00000000" w:rsidRPr="00000000" w:rsidDel="00000000">
              <w:rPr>
                <w:u w:val="single"/>
                <w:rtl w:val="0"/>
              </w:rPr>
              <w:t xml:space="preserve">tikai par diviem gadiem</w:t>
            </w:r>
            <w:r w:rsidR="00000000" w:rsidRPr="00000000" w:rsidDel="00000000">
              <w:rPr>
                <w:rtl w:val="0"/>
              </w:rPr>
              <w:t xml:space="preserve"> (t.i., paredzot principa “divi + divi gadi” ievērošanu), šobrīd pagarinot līgumus ar tām kredītiestādēm, kas jau ir izmantojušas līguma pagarināšanu līdz maksimāli iespējamam termiņam, tiktu pārkāpti sākotnēji izziņotie kredītiestāžu atlases nosacījumi. Līdz ar to atkārtoti lūdzam nodrošināt jau sākotnēji paredzētā principa “divi + divi gadi” ievērošanu attiecībā uz visām izvēlētajām kredītiestādēm, atbilstoši precizējot arī noteikumu projektu, proti, svītrojot tā 4.punktu. Kā arī lūdzam atbilstoši precizēt anotācijā sniegtos skaidrojumus un izziņas 2.punktā ietverto informāciju. Vēršam uzmanību, ka, neievērojot iepriekš minēto "divi + divi gadi" principu, kredītiestādēm potenciāli tiks piešķirts nelikumīgs komercdarbības atbalsts. Nelikumīgā komercdarbības atbalsta sniedzēja pienākums ir ievērot Komercdarbības atbalsta kontroles likuma IV un V nodaļu.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Eiropas Savienības struktūrfondu un Kohēzijas fonda darbības programmu 2021.-2027.gadam ieviešanas laika grafiku, Ekonomikas ministrijai 2022.gada I ceturksnī ir jānodrošina 1.2.3.5.pasākuma “Garantijas, portfeļgarantijas pilna cikla uzņēmējdarbībai” īstenošanas noteikumu apstiprināšana Ministru kabinetā. Līdz ar to lūdzam anotācijā sniegt skaidrojumu kā tiks nodrošināta demarkācija starp MK noteikumu Nr.537 un 1.2.3.5.pasākuma ietvaros plānoto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struktūrfondu un Kohēzijas fonda darbības programmā 2021.-2027.gadam SAM Nr. 1.2.3.5. "Veicināt ilgtspējīgu izaugsmi, konkurētspēju un darba vietu radīšanu MVU, tostarp ar produktīvām  investīcijām” ietvaros ir plānots 46 019 000 EUR ERAF finansējums ALTUM izsniegtām garantijām un portfeļgarantijām. Ņemot vērā iepriekšējo pieredzi portfeļgarantiju finansēšanā, programmas veiksmīgas darbības nodrošināšanai iepriekšējo periodu fondu atmaksātais finansējums ir vairāk piemērots, lai nodrošinātu plašāku finansējuma pieejamību MVU kā garantiju saņēmējiem. Jaunais ERAF finansējums tiks izmantots Komersantu individuālajam garantijām, kā arī tiks turpināts darbs pie finanšu instrumentu garantiju veidā pilnveidošanas un izstrādes.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2022. gada I ceturksnis ir plānotais indikatīvais ieviešanas laiks, kas var tikt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anotācijā ietverto tekstu: "</w:t>
            </w:r>
            <w:r w:rsidR="00000000" w:rsidRPr="00000000" w:rsidDel="00000000">
              <w:rPr>
                <w:i w:val="1"/>
                <w:rtl w:val="0"/>
              </w:rPr>
              <w:t xml:space="preserve">Eiropas Komisija 2021.gada 18.novembrī pagarināja Temporary framework darbības termiņu, kas ļauj pagarināt Covid-19 atbalsta instrumentu (individuālo garantiju) darbības termiņu, tādēļ Ekonomikas ministrija 23.novembrī lūdza Latvijas Finanšu nozares asociācijas (LFNA) viedokli par nepieciešamību pagarināt programmas darbības termiņu līdz 2022. gada 30.jūnijam"</w:t>
            </w:r>
            <w:r w:rsidR="00000000" w:rsidRPr="00000000" w:rsidDel="00000000">
              <w:rPr>
                <w:rtl w:val="0"/>
              </w:rPr>
              <w:t xml:space="preserve"> skaidrojam, ka MKN 537 ietvaros 5.</w:t>
            </w:r>
            <w:r w:rsidR="00000000" w:rsidRPr="00000000" w:rsidDel="00000000">
              <w:rPr>
                <w:vertAlign w:val="superscript"/>
                <w:rtl w:val="0"/>
              </w:rPr>
              <w:t xml:space="preserve">1</w:t>
            </w:r>
            <w:r w:rsidR="00000000" w:rsidRPr="00000000" w:rsidDel="00000000">
              <w:rPr>
                <w:rtl w:val="0"/>
              </w:rPr>
              <w:t xml:space="preserve">punktā paredzētās Covid-19 krīzes </w:t>
            </w:r>
            <w:r w:rsidR="00000000" w:rsidRPr="00000000" w:rsidDel="00000000">
              <w:rPr>
                <w:u w:val="single"/>
                <w:rtl w:val="0"/>
              </w:rPr>
              <w:t xml:space="preserve">portfeļgarantijas</w:t>
            </w:r>
            <w:r w:rsidR="00000000" w:rsidRPr="00000000" w:rsidDel="00000000">
              <w:rPr>
                <w:rtl w:val="0"/>
              </w:rPr>
              <w:t xml:space="preserve"> netika sniegtas saskaņā ar Pagaidu regulējumu, bet gan ar de minimis regulējumu, kas ir ietverts šajos noteikumos, līdz ar to nav skaidrs iepriekš minētais teksts anotācijā saistībā ar Pagaidu regulējuma piemērošanu šiem noteikumiem. Lūdzam tekstu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attiecībā uz anotācijā ietverto tekstu: "</w:t>
            </w:r>
            <w:r w:rsidR="00000000" w:rsidRPr="00000000" w:rsidDel="00000000">
              <w:rPr>
                <w:i w:val="1"/>
                <w:rtl w:val="0"/>
              </w:rPr>
              <w:t xml:space="preserve">Komersantiem joprojām tiks saglabāta iespēja pieteikties uz atbalstu COVID-19 izraisītās pandēmijas negatīvās ietekmes samazināšanai COVID-19 Individuālajām garantiju ietvaros, kuras regulētas 2020. gada 19. marta MK noteikumos Nr. 150 “Noteikumi par garantijām saimnieciskās darbības veicējiem, kuru darbību ietekmējusi Covid-19 izplatība</w:t>
            </w:r>
            <w:r w:rsidR="00000000" w:rsidRPr="00000000" w:rsidDel="00000000">
              <w:rPr>
                <w:rtl w:val="0"/>
              </w:rPr>
              <w:t xml:space="preserve">”, vēršam uzmanību, ka pasākums COVID-19 </w:t>
            </w:r>
            <w:r w:rsidR="00000000" w:rsidRPr="00000000" w:rsidDel="00000000">
              <w:rPr>
                <w:u w:val="single"/>
                <w:rtl w:val="0"/>
              </w:rPr>
              <w:t xml:space="preserve">individuālo garantiju</w:t>
            </w:r>
            <w:r w:rsidR="00000000" w:rsidRPr="00000000" w:rsidDel="00000000">
              <w:rPr>
                <w:rtl w:val="0"/>
              </w:rPr>
              <w:t xml:space="preserve"> ietvaros, kuras tiek sniegtas, ievērojot 2020. gada 19. marta MK noteikumus Nr. 150 “Noteikumi par garantijām saimnieciskās darbības veicējiem, kuru darbību ietekmējusi Covid-19 izplatība”, ir paziņots Eiropas Komisijai SA.63157 (sākotnējā shēma SA.56722) lietas ietvaros un tā darbības beigu termiņš ir 31.12.2021.(Ekonomikas ministrija nav veikusi darbības, lai šo pasākumu pagarinātu), līdz ar to lūdzam precizēt tekstu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MKN 150 noteikumi ir spēkā līdz 2021.gada 31.decembrim un, nevirzot minētā pasākuma pagarinājuma paziņojumu Eiropas Komisijā, shēmai SA.63157 pēc 2022.gada 1.janvāra ir iestājies pārrāvums un tas nozīmē, ka jaunu atbalstu šī pasākuma ietvaros piešķirt nevar.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un anotācijā izņemta norāde uz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š.g. 28.decembrī ir iesniegusi paziņojumu Eiropas Komisijai par atbalsta piešķiršanas termiņa pagarinājumu Ministru kabineta 2020.gada 19.marta noteikumiem Nr.150 "Noteikumi par garantijām saimnieciskās darbības veicējiem, kuru darbību ietekmējusi Covid-19 izplatība", anotācija ir attiecīgi papildināta, ka garantiju sniegšana tiks turpināta pēc pozitīva Eiropas Komisijas lēmuma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izteikto Finanšu ministrijas iebildumu par MKN 150 darbības termiņa beigām, vēršam uzmanību, ka anotācijas 1.3.sadaļa nav precizēta visās nepieciešamajās vietās. Piemēram, nav skaidrs, ko Ekonomikas ministrija ir vēlējusies skaidrot ar anotācijas 1.3.sadaļā ietverto tekstu </w:t>
            </w:r>
            <w:r w:rsidR="00000000" w:rsidRPr="00000000" w:rsidDel="00000000">
              <w:rPr>
                <w:i w:val="1"/>
                <w:rtl w:val="0"/>
              </w:rPr>
              <w:t xml:space="preserve">“Programmas sākotnējais darbības termiņš bija 2020.gada 30.decembris  - tāds pats kā pasākumiem, kas izstrādāti atbilstoši Eiropas Komisijas Pagaidu regulējumam valsts atbalsta pasākumiem (Temporary framework) (Covid-19 garantijām nav piemērojami Temporary framework nosacījumi). 2020.gada decembrī, veicot izmaiņas Covid-19 atbalsta programmās, Ekonomikas ministrija veica izmaiņas arī MK noteikumos Nr.537 un pagarināja Covid-19 portfeļgarantiju programmas darbības termiņu līdz 2021.gada 31.decembrim</w:t>
            </w:r>
            <w:r w:rsidR="00000000" w:rsidRPr="00000000" w:rsidDel="00000000">
              <w:rPr>
                <w:rtl w:val="0"/>
              </w:rPr>
              <w:t xml:space="preserve">”. Vēršam uzmanību, ka, pirmkārt, minētajā rindkopā norādītie Covid-19 seku novēršanas pasākumu darbības termiņi neatbilst realitātei, ņemot vērā, ka daudzi no tiem jau ir pagarināti atbilstoši Pagaidu regulējuma 6.grozījumiem, t.i., līdz 30.06.2022 (tostarp MKN 150, kas šobrīd ir paziņoti EK un par ko tiek gaidīts EK lēmums), un, otrkārt, iekļautā informācija, ka “</w:t>
            </w:r>
            <w:r w:rsidR="00000000" w:rsidRPr="00000000" w:rsidDel="00000000">
              <w:rPr>
                <w:i w:val="1"/>
                <w:rtl w:val="0"/>
              </w:rPr>
              <w:t xml:space="preserve">(Covid-19 garantijām nav piemērojami Temporary framework nosacījumi)</w:t>
            </w:r>
            <w:r w:rsidR="00000000" w:rsidRPr="00000000" w:rsidDel="00000000">
              <w:rPr>
                <w:rtl w:val="0"/>
              </w:rPr>
              <w:t xml:space="preserve">”, nav korekta, ņemot vērā, ka Covid-19 garantiju pasākums (MKN 150) ir ieviests saskaņā ar Pagaidu regulējumu. Lūdzam izvērtēt minētās rindkopas nepieciešamību un/vai to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anotācija ir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anotācijā ietverto informāciju: “</w:t>
            </w:r>
            <w:r w:rsidR="00000000" w:rsidRPr="00000000" w:rsidDel="00000000">
              <w:rPr>
                <w:i w:val="1"/>
                <w:rtl w:val="0"/>
              </w:rPr>
              <w:t xml:space="preserve">Atbilstoši Altum sniegtajai informācijai kopš programma uzsākšanas izsniegtas 35 garantijas 1,4 milj. EUR apmērā. Minētajām garantijām, kā arī garantijām, kas varētu tikt piešķirtas līdz programmas darbības beigām (31.12.2021.) nepieciešams publiskais finansējuma segums līdz 0,5 milj. EUR apmērā, bet 8,5 milj. EUR apmērā iespējams samazināt programmas finansējumu</w:t>
            </w:r>
            <w:r w:rsidR="00000000" w:rsidRPr="00000000" w:rsidDel="00000000">
              <w:rPr>
                <w:rtl w:val="0"/>
              </w:rPr>
              <w:t xml:space="preserve">.”, lūdzam skaidri norādīt, uz kurām garantijām tā ir attiecināma – Covid-19 individuālajām garantijām (MKN 150) vai portfeļgarantijām (MKN 537).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anotācija ir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5.punktā Ekonomikas ministrijas sniegto skaidrojumu uz 28.12.2021. Finanšu ministrijas izteikto iebildumu, ka “</w:t>
            </w:r>
            <w:r w:rsidR="00000000" w:rsidRPr="00000000" w:rsidDel="00000000">
              <w:rPr>
                <w:i w:val="1"/>
                <w:rtl w:val="0"/>
              </w:rPr>
              <w:t xml:space="preserve">EK lēmumā SA.36904 24. un 121. punktā ir noteiktas pamatkapitāla un rezerves kapitāla maksimālās summas, tomēr MK noteikumu 5.punktā paredzētais finansējums tiks nodrošināts kā ALTUM saistības pret Ekonomikas ministriju</w:t>
            </w:r>
            <w:r w:rsidR="00000000" w:rsidRPr="00000000" w:rsidDel="00000000">
              <w:rPr>
                <w:rtl w:val="0"/>
              </w:rPr>
              <w:t xml:space="preserve">.”, lūdzam ar minēto informāciju papildināt arī anotāciju, kā arī papildināt ar informāciju, ka minētās saistības nepalielina EK lēmumā SA.36904 24. un 121. punktā noteiktās pamatkapitāla un rezerves kapitāla summas.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anotācija ir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2021.gada 28.decembrī izteikto iebildumu un lūdzam pievienot anotācijas pielikumu programmas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ka novērtējums tiks iesniegts mēneša laikā pēc noteikumu apstiprināšanas MK. Precizēts protokollēmums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Garantiju izsniegšanai un sabiedrības "Altum" pārvaldības izmaksu segšanai izmanto Eiropas Savienības struktūrfondu un Kohēzijas fonda 2007.–2013. gada plānošanas perioda atmaksāto finansējumu 11 300 000 </w:t>
            </w:r>
            <w:r w:rsidR="00000000" w:rsidRPr="00000000" w:rsidDel="00000000">
              <w:rPr>
                <w:i w:val="1"/>
                <w:rtl w:val="0"/>
              </w:rPr>
              <w:t xml:space="preserve">euro</w:t>
            </w:r>
            <w:r w:rsidR="00000000" w:rsidRPr="00000000" w:rsidDel="00000000">
              <w:rPr>
                <w:rtl w:val="0"/>
              </w:rPr>
              <w:t xml:space="preserve"> apmērā, kas noteikts atbilstoši Attīstības finanšu institūcijas likumam izstrādātajā programmas novērtējumā un ko veido: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projekts paredz finansējuma apjoma izmaiņas, t.sk., palielināšanu, samazināšanu nosakot jaunu pieejamo limitu, programmā lūdzam pievienot anotācijas pielikumu, kurā aktualizēti dati par esošo programmas īstenošanas gaitu, kā arī </w:t>
            </w:r>
            <w:r w:rsidR="00000000" w:rsidRPr="00000000" w:rsidDel="00000000">
              <w:rPr>
                <w:u w:val="single"/>
                <w:rtl w:val="0"/>
              </w:rPr>
              <w:t xml:space="preserve">izvērtēta scenārijos balstīta turpmāka programmas</w:t>
            </w:r>
            <w:r w:rsidR="00000000" w:rsidRPr="00000000" w:rsidDel="00000000">
              <w:rPr>
                <w:rtl w:val="0"/>
              </w:rPr>
              <w:t xml:space="preserve"> ietekme, riski un sagaidāmie zaudējumi, finansiālais rezultāts un programmas īstenošanas izmaksu noteikšanas principi, piemēram, atbilstība segtajam riskam, kredītriskam, koncentrācijas riskam, izsniegšanas un ilgtermiņa darbības izdevumi, </w:t>
            </w:r>
            <w:r w:rsidR="00000000" w:rsidRPr="00000000" w:rsidDel="00000000">
              <w:rPr>
                <w:u w:val="single"/>
                <w:rtl w:val="0"/>
              </w:rPr>
              <w:t xml:space="preserve">kā arī pamatojumu par vadības izmaksām finanšu instrumentu griezumā</w:t>
            </w:r>
            <w:r w:rsidR="00000000" w:rsidRPr="00000000" w:rsidDel="00000000">
              <w:rPr>
                <w:rtl w:val="0"/>
              </w:rPr>
              <w:t xml:space="preserve">, lai ievērotu Attīstības finanšu institūcijas likuma 5.panta otrās daļas 1.punktā un 12.panta trešajā un ceturtajā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 un, iesniedzot MK noteikumu grozījumus apstiprināšanai Ministru kabinetā, tiks iesniegts attiecīgs risku un ietekmes novērtējums par finansējuma izmaiņām.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Garantiju izsniegšanai un sabiedrības "Altum" pārvaldības izmaksu segšanai izmanto Eiropas Savienības struktūrfondu un Kohēzijas fonda 2007.–2013. gada plānošanas perioda atmaksāto finansējumu 11 300 000 </w:t>
            </w:r>
            <w:r w:rsidR="00000000" w:rsidRPr="00000000" w:rsidDel="00000000">
              <w:rPr>
                <w:i w:val="1"/>
                <w:rtl w:val="0"/>
              </w:rPr>
              <w:t xml:space="preserve">euro</w:t>
            </w:r>
            <w:r w:rsidR="00000000" w:rsidRPr="00000000" w:rsidDel="00000000">
              <w:rPr>
                <w:rtl w:val="0"/>
              </w:rPr>
              <w:t xml:space="preserve"> apmērā, kas noteikts atbilstoši Attīstības finanšu institūcijas likumam izstrādātajā programmas novērtējumā un ko veido: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Garantiju izsniegšanai un sabiedrības "Altum" pārvaldības izmaksu segšanai izmanto Eiropas Savienības struktūrfondu un Kohēzijas fonda 2007.–2013. gada plānošanas perioda atmaksāto finansējumu 11 300 000 </w:t>
            </w:r>
            <w:r w:rsidR="00000000" w:rsidRPr="00000000" w:rsidDel="00000000">
              <w:rPr>
                <w:i w:val="1"/>
                <w:rtl w:val="0"/>
              </w:rPr>
              <w:t xml:space="preserve">euro</w:t>
            </w:r>
            <w:r w:rsidR="00000000" w:rsidRPr="00000000" w:rsidDel="00000000">
              <w:rPr>
                <w:rtl w:val="0"/>
              </w:rPr>
              <w:t xml:space="preserve"> apmērā, kas noteikts atbilstoši Attīstības finanšu institūcijas likumam izstrādātajā programmas novērtējumā un ko veido: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programmā ir paredzētas finansējuma izmaiņas, lūdzam anotācijā skaidrot, vai izmaiņas finansējumā nepārsniegs EK lēmumā SA.36904 24. un 121. punktā noteikto pamatkapitāla un rezerves kapitāla maksimālo summu. Vēršam uzmanību, ka EK lēmuma SA.36904 23.punkts nemaz neparedz citādu iespēju kā finansējumu iepludināt caur pamatkapitālu vai rezerves kapitālu. Ja gadījumā plānotais pamatkapitāla vai rezerves kapitāla palielinājums pārsniedz EK lēmumā SA.36904 noteikto summu, lūdzam juridiski korekti atrunāt, ka programmu varēs uzsākt tikai pēc tam, kad būs saņemts EK lēmums par grozījumiem EK lēmumā SA.36904 par sabiedrības Altum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 lēmumā SA.36904 24. un 121. punktā ir noteiktas pamatkapitāla un rezerves kapitāla maksimālās summas, tomēr MK noteikumu 5.punktā paredzētais finansējums tiks nodrošināts kā ALTUM saistības pret Ekonomikas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Garantiju izsniegšanai un sabiedrības "Altum" pārvaldības izmaksu segšanai izmanto Eiropas Savienības struktūrfondu un Kohēzijas fonda 2007.–2013. gada plānošanas perioda atmaksāto finansējumu 11 300 000 </w:t>
            </w:r>
            <w:r w:rsidR="00000000" w:rsidRPr="00000000" w:rsidDel="00000000">
              <w:rPr>
                <w:i w:val="1"/>
                <w:rtl w:val="0"/>
              </w:rPr>
              <w:t xml:space="preserve">euro</w:t>
            </w:r>
            <w:r w:rsidR="00000000" w:rsidRPr="00000000" w:rsidDel="00000000">
              <w:rPr>
                <w:rtl w:val="0"/>
              </w:rPr>
              <w:t xml:space="preserve"> apmērā, kas noteikts atbilstoši Attīstības finanšu institūcijas likumam izstrādātajā programmas novērtējumā un ko veido: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norādīta šāda informācija: “Pēc līgumu sākotnējā darbības termiņa beigām (30.12.2021) visas komercbankas, izņemot “Luminor Bank” AS Latvijas filiāli, pagarināja līgumu darbības termiņu līdz 2021. gada 31. decembrim”. No minētā izriet, ka ar komercbankām ir pagarināts līgumu sākotnējais darbības termiņš tikai par vienu dienu, kas ir apšaubāmi. Lūdzam precizēt šo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 precizēts līgumu sākotnējais darbības termiņš – 30.12.2020 nevis 30.12.2021.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vai papildus piešķiramais atmaksu finansējums ir brīvs no saistībām (nav pieņemti lēmumi par šo atmaksu piešķiršanu citiem mērķiem) un vai tas var tikt izmantots šīs valsts atbalsta programmas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 un anotācija ir attiecīgi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IV Sabiedrības "Altum" pārvaldības izmaksas/maksa nodaļas Risinājuma apraksta sadaļu ar informāciju, ka lai novērstu pārkompensācijas riskus tiks ievēroti Eiropas Komisijas 2015. gada 9. jūnija lēmuma Nr. SA.36904 (2014/N) "LHZB attīstības (programmu) daļa un Latvijas vienotās attīstības finanšu institūcijas izveide"  norādītais.”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 lēmumā SA.36904 24. un 121. punktā ir noteiktas pamatkapitāla un rezerves kapitāla maksimālās summas, tomēr MK noteikumu 5.punktā paredzētais finansējums tiks nodrošināts kā ALTUM saistības pret Ekonomikas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Ja ir pārkāptas Komisijas regulas Nr. 1407/2013 prasības, atbalsta saņēmējam ir pienākums atmaksāt sabiedrībai "Altum" visu projekta ietvaros saņemto atbalstu kopā ar procentiem, kuru likmi publicē Eiropas Komisija saskaņā ar Komisijas 2004. gada 21. aprīļa Regulas (EK) Nr.  </w:t>
            </w:r>
            <w:r w:rsidR="00000000" w:rsidRPr="00000000" w:rsidDel="00000000">
              <w:rPr>
                <w:rtl w:val="0"/>
              </w:rPr>
              <w:t xml:space="preserve">794/2004</w:t>
            </w:r>
            <w:r w:rsidR="00000000" w:rsidRPr="00000000" w:rsidDel="00000000">
              <w:rPr>
                <w:rtl w:val="0"/>
              </w:rPr>
              <w:t xml:space="preserve">, ar ko īsteno Padomes Regulu (ES)  </w:t>
            </w:r>
            <w:r w:rsidR="00000000" w:rsidRPr="00000000" w:rsidDel="00000000">
              <w:rPr>
                <w:rtl w:val="0"/>
              </w:rPr>
              <w:t xml:space="preserve">2015/1589</w:t>
            </w:r>
            <w:r w:rsidR="00000000" w:rsidRPr="00000000" w:rsidDel="00000000">
              <w:rPr>
                <w:rtl w:val="0"/>
              </w:rPr>
              <w:t xml:space="preserve">, ar ko nosaka sīki izstrādātus noteikumus Līguma par Eiropas Savienības darbību 108. panta piemērošanai (turpmāk – Komisijas regula Nr.  </w:t>
            </w:r>
            <w:r w:rsidR="00000000" w:rsidRPr="00000000" w:rsidDel="00000000">
              <w:rPr>
                <w:rtl w:val="0"/>
              </w:rPr>
              <w:t xml:space="preserve">794/2004</w:t>
            </w:r>
            <w:r w:rsidR="00000000" w:rsidRPr="00000000" w:rsidDel="00000000">
              <w:rPr>
                <w:rtl w:val="0"/>
              </w:rPr>
              <w:t xml:space="preserve">), 10. pantu, tiem pieskaitot 100 bāzes punktus, no dienas, kad atbalsts tika izmaksāts atbalsta saņēmējam, līdz tā atgūšanas dienai, ievērojot Komisijas regulas Nr.  </w:t>
            </w:r>
            <w:r w:rsidR="00000000" w:rsidRPr="00000000" w:rsidDel="00000000">
              <w:rPr>
                <w:rtl w:val="0"/>
              </w:rPr>
              <w:t xml:space="preserve">794/2004</w:t>
            </w:r>
            <w:r w:rsidR="00000000" w:rsidRPr="00000000" w:rsidDel="00000000">
              <w:rPr>
                <w:rtl w:val="0"/>
              </w:rPr>
              <w:t xml:space="preserve"> 11. pantā noteikto procentu likmes piemērošanas metodi.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šobrīd Noteikumu 32.</w:t>
            </w:r>
            <w:r w:rsidR="00000000" w:rsidRPr="00000000" w:rsidDel="00000000">
              <w:rPr>
                <w:vertAlign w:val="superscript"/>
                <w:rtl w:val="0"/>
              </w:rPr>
              <w:t xml:space="preserve">1</w:t>
            </w:r>
            <w:r w:rsidR="00000000" w:rsidRPr="00000000" w:rsidDel="00000000">
              <w:rPr>
                <w:rtl w:val="0"/>
              </w:rPr>
              <w:t xml:space="preserve"> punktā ietvertā atgūšanas norma ir korekta, vienlaikus vēršam uzmanību uz to, ka 2021.gada 8.jūnijā Komercdarbības atbalsta kontroles likumā ir stājušies spēkā grozījumi un iepriekšminētā likuma IV. un V. nodaļas paredz atbalsta sniedzēja pienākumu nodrošināt nelikumīga komercdarbības atbalsta atgūšanu, ja tāds tiek konstatēts. Līdz ar to, aicinām izvērtēt iespēju precizēt Noteikumu 32.</w:t>
            </w:r>
            <w:r w:rsidR="00000000" w:rsidRPr="00000000" w:rsidDel="00000000">
              <w:rPr>
                <w:vertAlign w:val="superscript"/>
                <w:rtl w:val="0"/>
              </w:rPr>
              <w:t xml:space="preserve">1</w:t>
            </w:r>
            <w:r w:rsidR="00000000" w:rsidRPr="00000000" w:rsidDel="00000000">
              <w:rPr>
                <w:rtl w:val="0"/>
              </w:rPr>
              <w:t xml:space="preserve"> punkta redakciju,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pārkāptas Komisijas regulas Nr. 1407/2013 prasības, atbalsta saņēmējam ir pienākums atmaksāt sabiedrībai "Altum" visu projekta ietvaros saņemto atbalstu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 un MK noteikumu grozījumi ir attiecīgi papildināti.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Ja ir pārkāptas Komisijas regulas Nr. 1407/2013 prasības, atbalsta saņēmējam ir pienākums atmaksāt sabiedrībai "Altum" visu projekta ietvaros saņemto atbalstu no līdzekļiem, kas ir brīvi no valsts atbalsta, kopā ar procentiem, atbilstoši Komercdarbības atbalsta kontroles likuma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Ja ir pārkāptas Komisijas regulas Nr. 1407/2013 prasības, atbalsta saņēmējam ir pienākums atmaksāt sabiedrībai "Altum" visu projekta ietvaros saņemto atbalstu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nelikumīga valsts atbalsta atgūšanas normu struktūrfondu atbalsta programmās un ievērojot Sadarbības iestādes priekšlikumus nelikumīga valsts atbalsta atgūšanas normai citos gadījumos, ka a</w:t>
            </w:r>
            <w:r w:rsidR="00000000" w:rsidRPr="00000000" w:rsidDel="00000000">
              <w:rPr>
                <w:i w:val="1"/>
                <w:rtl w:val="0"/>
              </w:rPr>
              <w:t xml:space="preserve">tbalsta saņēmējam ir pienākums atmaksāt [atbalsta sniedzējam] visu projekta ietvaros saņemto atbalstu no līdzekļiem, kas ir brīvi  no valsts atbalsta, </w:t>
            </w:r>
            <w:r w:rsidR="00000000" w:rsidRPr="00000000" w:rsidDel="00000000">
              <w:rPr>
                <w:i w:val="1"/>
                <w:u w:val="single"/>
                <w:rtl w:val="0"/>
              </w:rPr>
              <w:t xml:space="preserve">kopā ar procentiem</w:t>
            </w:r>
            <w:r w:rsidR="00000000" w:rsidRPr="00000000" w:rsidDel="00000000">
              <w:rPr>
                <w:i w:val="1"/>
                <w:rtl w:val="0"/>
              </w:rPr>
              <w:t xml:space="preserve">, atbilstoši Komercdarbības atbalsta kontroles likuma IV. vai  V. nodaļas nosacījumiem</w:t>
            </w:r>
            <w:r w:rsidR="00000000" w:rsidRPr="00000000" w:rsidDel="00000000">
              <w:rPr>
                <w:rtl w:val="0"/>
              </w:rPr>
              <w:t xml:space="preserve">, lūdzam atbilstoši precizēt arī noteikumu projekta 32.</w:t>
            </w:r>
            <w:r w:rsidR="00000000" w:rsidRPr="00000000" w:rsidDel="00000000">
              <w:rPr>
                <w:vertAlign w:val="superscript"/>
                <w:rtl w:val="0"/>
              </w:rPr>
              <w:t xml:space="preserve">1</w:t>
            </w:r>
            <w:r w:rsidR="00000000" w:rsidRPr="00000000" w:rsidDel="00000000">
              <w:rPr>
                <w:rtl w:val="0"/>
              </w:rPr>
              <w:t xml:space="preserve">.punkta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Ja ir pārkāptas Komisijas regulas Nr. 1407/2013 prasības, atbalsta saņēmējam ir pienākums atmaksāt sabiedrībai "Altum" visu projekta ietvaros saņemto atbalstu no līdzekļiem, kas ir brīvi no valsts atbalsta, kopā ar procentiem, atbilstoši Komercdarbības atbalsta kontroles likuma IV. vai  V. nodaļas nosacījumiem.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21-TA-535</w:t>
    </w:r>
    <w:r>
      <w:br/>
    </w:r>
    <w:r w:rsidR="00000000" w:rsidRPr="00000000" w:rsidDel="00000000">
      <w:rPr>
        <w:rtl w:val="0"/>
      </w:rPr>
      <w:t xml:space="preserve">03.03.2022. 16.51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21-TA-535</w:t>
    </w:r>
    <w:r>
      <w:br/>
    </w:r>
    <w:r w:rsidR="00000000" w:rsidRPr="00000000" w:rsidDel="00000000">
      <w:rPr>
        <w:rtl w:val="0"/>
      </w:rPr>
      <w:t xml:space="preserve">03.03.2022. 16.51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Izziņa_21-TA-535.docx</dc:title>
</cp:coreProperties>
</file>

<file path=docProps/custom.xml><?xml version="1.0" encoding="utf-8"?>
<Properties xmlns="http://schemas.openxmlformats.org/officeDocument/2006/custom-properties" xmlns:vt="http://schemas.openxmlformats.org/officeDocument/2006/docPropsVTypes"/>
</file>