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3. septembra noteikumos Nr. 739 "Ieslodzījuma vietu pārvaldes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Pievienotās vērtības nodokļa likuma 5.pantā ir noteikti saimnieciskās darbības ietvaros ar PVN apliekamie darījumi, tas ir, preču piegāde par atlīdzību, pakalpojuma sniegšana par atlīdzību un preču iegāde Eiropas Savienības teritorijā par atlīdzību. Proti, ar PVN neapliek izmaksas. Tādējādi lūdzam precizēt cenrāža no 9. līdz 16.punktā minētā maksas pakalpojuma nosaukumu, kā arī izvērtēt, vai šiem pakalpojumiem PVN nepiemēro saskaņā ar zematsaucē norādīto Pievienotās vērtības nodokļa likuma regulējumu un nepieciešamības gadījumā to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Cenrādī ir ietverta atsauce, ka cenrādī norādītajiem sniegtajiem pakalpojumiem PVN nepiemēro saskaņā ar Pievienotās vērtības nodokļa likuma 3.panta astoto daļu. Pievienotās vērtības nodokļa likuma 3.panta astotā daļa paredz, ka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 Atzīmējam, ka PVN piemērošanai primāri ir vērtējama darījuma ekonomiskā būtība un saturs. Tādējādi, mūsuprāt, cenrāža 2. un 3.punktā minētie pakalpojumi nav uzskatāmi par pakalpojumiem, kas sniegti  valsts pārvaldes deleģētu uzdevumu ietvaros. Lūdzam precizēt PVN piemērošanu šiem pakalpojumiem, vai nepieciešamības gadījumā papildināt cenrādi ar atbilstošu atsauci, kāpēc šiem pakalpojumiem nav norādīts PVN.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sniegta informācija, ka daļa no projekta pielikumā minētajiem pakalpojumiem tiek sniegti valsts pārvaldes funkciju vai uzdevumu ietvaros un tādējādi šiem pakalpojumiem PVN nepiemēro atbilstoši Pievienotās vērtības nodokļa likuma 3.panta astotajai daļai. Tāpat projekta anotācijā nav norādīts saskaņā ar kādu normatīvo aktu ir deleģētas attiecīgas valsts pārvaldes funkcijas vai uzdevumi. Ņemot vērā minēto, lūdzam attiecīgi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cenrāža 9.-16.punktā minētie pakalpojumi ir sniegti, pildot valsts pārvaldes funkciju vai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izpildes kodeksa 47.</w:t>
            </w:r>
            <w:r w:rsidR="00000000" w:rsidRPr="00000000" w:rsidDel="00000000">
              <w:rPr>
                <w:vertAlign w:val="superscript"/>
                <w:rtl w:val="0"/>
              </w:rPr>
              <w:t xml:space="preserve">1 </w:t>
            </w:r>
            <w:r w:rsidR="00000000" w:rsidRPr="00000000" w:rsidDel="00000000">
              <w:rPr>
                <w:rtl w:val="0"/>
              </w:rPr>
              <w:t xml:space="preserve">pants paredz notiesātajiem tiesības izmantot sadzīves tehniku, proti, notiesātajiem atļauts izmantot brīvības atņemšanas iestādes un personiskos televizorus un radiouztvērējus (bez balss ieraksta iespējām), kā arī citu personisko sadzīves tehniku brīvības atņemšanas iestādes iekšējās kārtības noteikumos noteiktajā apjomā, laikā un kārtībā. Savukārt 2006.gada 30. maija Ministru kabineta noteikumu Nr. 423 "Brīvības atņemšanas iestādes iekšējās kārtības noteikumi" VIII nodaļā atrunāta kārtība, kādā lietojami televizori, radiouztvērēji un cita personiskā sadzīves tehnika, tajā skaitā ir arī noteikts, ka izdevumus par individuālās sadzīves elektroiekārtas patērēto elektroenerģiju sedz notiesātais.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pati kārtība ir attiecināma arī uz apcietinātu personu. Apcietinājumā turēšanas kārtības likuma 13.panta pirmās daļas 10.punkts noteic, ka apcietinātajam ir tiesības izmantot personisko mazgabarīta sadzīves tehniku — televizoru (ekrāna izmērs līdz 50 cm pa diagonāli) un tam pievienojamās videospēles, kā arī ledusskapi, ūdens sildāmās ierīces, radiouztvērēju (bez balss ieraksta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maksu no ieslodzītajiem par televizora, radiouztvērēja un citas personiskās sadzīves tehnikas lietošanu Pārvalde iekasē saskaņā ar 2013.gada 3.septembra Ministru kabineta noteikumiem Nr. 739 " Ieslodzījuma vietu pārvaldes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pielikumu jaunā redakcijā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informāciju, paskaidrojot izdevumu sasaisti ar sniedzamajiem pakalpojumiem un norādot, ka papildu izdevumi ir saistīti ar maksas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22-TA-3598</w:t>
    </w:r>
    <w:r>
      <w:br/>
    </w:r>
    <w:r w:rsidR="00000000" w:rsidRPr="00000000" w:rsidDel="00000000">
      <w:rPr>
        <w:rtl w:val="0"/>
      </w:rPr>
      <w:t xml:space="preserve">22.03.2023. 07.44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22-TA-3598</w:t>
    </w:r>
    <w:r>
      <w:br/>
    </w:r>
    <w:r w:rsidR="00000000" w:rsidRPr="00000000" w:rsidDel="00000000">
      <w:rPr>
        <w:rtl w:val="0"/>
      </w:rPr>
      <w:t xml:space="preserve">22.03.2023. 07.44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Izziņa_22-TA-3598.docx</dc:title>
</cp:coreProperties>
</file>

<file path=docProps/custom.xml><?xml version="1.0" encoding="utf-8"?>
<Properties xmlns="http://schemas.openxmlformats.org/officeDocument/2006/custom-properties" xmlns:vt="http://schemas.openxmlformats.org/officeDocument/2006/docPropsVTypes"/>
</file>