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1.1.1.6. pasākuma “Zinātniskās darbības digitalizācija un  dalība Eiropas Atvērtajā zinātnes mākonī ”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īstenots projekts, kas nav saistīts ar saimnieciskās darbības veikšanu. Finansējuma saņēmējs atbilstoši 21. punktā uzskaitītajām darbībām pakalpojumus sniedz bez ekskluzivitātes un diskriminācijas un pētniecības sektoram šie pakalpojumi ir brīvi pieejami. Sadarbības partneri projektā piedalās ar savu kompetenci un nav paredzēta finansējuma un aktīvu pārnese no finansējuma saņēmēja uz partneriem, līdz ar to netiek sniegts tāds atbalsts, kas kvalificējas kā valsts atbalsts. Sadarbības partneriem projektā  netiek piešķirts finansējums un attiecībā uz tiem nav jāvērtē atbilstība komercdarbības atbalsta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savstarpēji saskaņotu informāciju, lai būtu viennozīmīgi skaidrs, vai sadarbības partneru izmaksas būs vai nebūs iekļaujamas projektā un attiecīgi partneri ir jāvērtē komercdarbības atbalsta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2.redakcijā noteikumu projekta 5.punkts ir papildināts ar informāciju "Sadarbības partneri projektā piedalās ar savu kompetenci un nav paredzēta finansējuma un aktīvu pārnese no finansējuma saņēmēja uz partneriem, līdz ar to netiek sniegts tāds atbalsts, kas kvalificējas kā valsts atbalsts. </w:t>
            </w:r>
            <w:r w:rsidR="00000000" w:rsidRPr="00000000" w:rsidDel="00000000">
              <w:rPr>
                <w:b w:val="1"/>
                <w:rtl w:val="0"/>
              </w:rPr>
              <w:t xml:space="preserve">Sadarbības partneriem projektā  netiek piešķirts finansējums</w:t>
            </w:r>
            <w:r w:rsidR="00000000" w:rsidRPr="00000000" w:rsidDel="00000000">
              <w:rPr>
                <w:rtl w:val="0"/>
              </w:rPr>
              <w:t xml:space="preserve"> un attiecībā uz tiem nav jāvērtē atbilstība komercdarbības atbalsta normām.", tādējādi var saprast, ka projektā tiks iekļautas tikai tādas izmaksas, kas radīsies projekta iesniedzējam - biedrībai. Vienlaikus arī anotācijā ir iekļauts izvērtējums un informācija, ka “</w:t>
            </w:r>
            <w:r w:rsidR="00000000" w:rsidRPr="00000000" w:rsidDel="00000000">
              <w:rPr>
                <w:b w:val="1"/>
                <w:rtl w:val="0"/>
              </w:rPr>
              <w:t xml:space="preserve">Sadarbības partneriem projektā  netiek piešķirts finansējums un attiecībā uz tiem nav jāvērtē atbilstība komercdarbības atbalsta normām.</w:t>
            </w:r>
            <w:r w:rsidR="00000000" w:rsidRPr="00000000" w:rsidDel="00000000">
              <w:rPr>
                <w:rtl w:val="0"/>
              </w:rPr>
              <w:t xml:space="preserve">” Savukārt atbilstoši šo noteikumu projekta 25., 29.punktā u.c. punktos, ir secināms, ka sadarbības partneriem projektā ir iespējams attiecināt dažādas izmaksu pozīcijas, ir norādīts brīdis, no kura sadarbības partneru izmaksas būs attiecināmas, ka sadarbības partneru izmaksas ir daļa no projekta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projektu un skaidrojumu anotācijā, nodrošinot ar informāciju un nosacījumiem, lai skaidrs, vai sadarbības partneriem tiek piešķirts finansējums, un ja tas tiek piešķirts, attiecīgi jānodrošina atbalsts partneriem ar izvērtējumu komercdarbības atbalsta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Laura Ausmane)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izmaksas netiks iekļautas projektā. Sadarbības partneri projektā piedalās ar savu kompetenci un nav paredzēta finansējuma un aktīvu pārnese no finansējuma saņēmēja uz partneriem, līdz ar to netiek sniegts tāds atbalsts, kas kvalificējas kā valsts atbalsts. Sadarbības partneriem projektā  netiek piešķirts finansējums un attiecībā uz tiem nav jāvērtē atbilstība komercdarbības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ar sadarbības partneriem priekšmets būs pašas sadarbības principi gan EOSC nacionālā mezgla un pakalpojumu izstrādes laikā, gan lietošanā. Līgumā tiks paredzēta sadarbības partnera atbildība un ieguldījums pasākuma mērķa sasniegšanā, ieguldījums īstenojamās atbalstāmās darbības un sasniedzamā rādītāja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punkti 19., 24. un anotācija. 29. 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īstenots projekts, kas nav saistīts ar saimnieciskās darbības veikšanu. Finansējuma saņēmējs atbilstoši šo noteikumu 21. punktā uzskaitītajām atbalstāmajām darbībām pakalpojumus sniedz bez ekskluzivitātes un diskriminācijas un pētniecības sektoram šie pakalpojumi ir brīvi pieejami. Sadarbības partneri projektā piedalās ar savu kompetenci un nav paredzēta finansējuma un aktīvu pārnese no finansējuma saņēmēja uz partneriem, līdz ar to netiek sniegts tāds atbalsts, kas kvalificējas kā valsts atbalsts. Sadarbības partneriem projektā  netiek piešķirts finansējums un attiecībā uz tiem nav jāvērtē atbilstība komercdarbības atbalsta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īstenots projekts, kas nav saistīts ar saimnieciskās darbības veikšanu. Atbalsts finansējuma saņēmējam un sadarbības partneriem nekvalificējas kā komercdarbības atbalsts. Finansējuma saņēmējam un sadarbības partneriem nav ietekmes uz konkurenci un tirdzniecību Eiropas Savienības iekšējā tirgū. Piekļuve atvērtajiem datiem tiek nodrošināta bez ekskluzivitātes un diskriminēšanas, un datu nodošanas darbības ir bezpeļņas.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atbilstību komercdarbības atbalsta kontroles normām, lūdzam precizēt noteikumus un skaidrojumu anotācijā tā, lai skaidrs, vai pasākuma ietvaros tiek īstenots projekts, kas nav saistīts ar saimnieciskās darbības veikšanu, vai arī atbalstam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kontroles kontekstā vispirms tiek vērtēts, vai atbalsts tiek/netiek sniegts projekta aktivitātēm, kas ir/nav saistītas ar saimnieciskās darbības veikšanu, un, ja tiek konstatēts, ka atbalsts plānots projekta aktivitātēm, kas ir saistītas ar saimnieciskās darbības veikšanu, tikai tad pasākums tiek vērtēts atbilstoši Komercdarbības atbalsta kontroles likuma 5.pantā noteiktajām komercdarbības atbalsta pazīmēm, t.sk. vai atbalstam ir/nav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projektā un anotācijā skaidri nodalīt izvērtējumu par biedrību, un atsevišķi par partneriem, tai skaitā, arī skaidri norādot, kādas aktivitātes tie veiks, pamatojot, kādēļ tās nav kvalificējamas kā pakalpojums tirgū, un kādas tiks iepirktas.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ja atbalsts biedrībai plānots pārvaldes uzdevuma veikšanai, skaidri jānorāda, kurā normatīvajā aktā deleģējums biedrībai noteikts un vai deleģējums aptver arī šajā pasākumā plānotās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ņemt vērā, ka, ja attiecībā uz sadarbības partneriem saskatāms atbalsts pētniecībai, tad analīze atšķiras no atbalsta izglītībai un, piemēram, atsaucoties uz Eiropas Komisijas 2022. gada 28. oktobra paziņojuma "Pētniecībai, izstrādei un inovācijai piešķiramā valsts atbalsta nostādnes" 20. punktā minētajām nesaimnieciskajām darbībām, vēl arī jāpierāda, ka partneris atbilst pētniecības organizācijas definīcijai un ka tiek nodrošināta atsevišķa grāmatvedības uzskaite. Papildus, lūdzam ņemt vērā, ka katra augstākās izglītības iestāde ir jāizvērtē pirms atbalsta piešķiršanas un kritēriji jāietver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16., 17. un 20.punkts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tiek īstenots projekts, kas nav saistīts ar saimnieciskās darbības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 pantam biedrība ir brīvprātīga personu apvienība, kas nodibināta, lai sasniegtu statūtos noteikto mērķi, kam nav pelņas gūšanas rakstura. Nevienai citai organizācijai, izņemot VPC, nav deleģēti valsts pārvaldes uzdevumi izveidot un uzturēt augstākās izglītības un pētniecības digitālos pakalpojumus. IZM ar VPC ir noslēgusi divus deleģēšanas līgumus, kas  aptver arī šajā pasākumā plānotās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ar VPC noslēgtā 2024.gada 28.februāra deleģēšanas līgums Nr. 2-2e/24/79 ir noslēgts ievērojot Ministru kabineta 2022.gada 1.marta protokollēmuma (turpmāk – Protoklollēmums) “Informatīvais ziņojums “Latvijas atvērtās zinātnes stratēģija 2021.-2027. gadam”” (prot. Nr.12 31.§) 3.punktā noteikto, ka Vienotā augstākās izglītības un zinātnes informācijas tehnoloģijas koplietošanas pakalpojumu centra uzturēšanas izmaksas 2023. gadam un turpmākajiem gadiem 100 000 euro apmērā ik gadu finansē no Izglītības un zinātnes ministrijas pamatbudžeta programmas 05.00.00 "Zinātne" budžeta apakšprogrammas 05.02.00 "Zinātnes bāzes finansējums" līdzekļiem, atbilstoši informatīvajā ziņojumā “Latvijas atvērtās zinātnes stratēģija 2021.-2027. gadam” (pieņemts zināšanai ar Protokollēmuma 1. punktu) noteiktajam, ka VPC mērķis ir veicināt Latvijas augstākās izglītības un zinātnisko institūciju attīstību un starptautisko konkurētspēju, integrējot, attīstot un nodrošinot augstas kvalitātes informāciju tehnoloģiju koplietošanas pakalpojumus, t.sk. potenciāli VPC iesaistot nozares digitalizācijas politikas plānošanā, kā arī šī ziņojuma 4. daļā “Pasākumu plāns Latvijas atvērtās zinātnes stratēģijai 2021.-2027. gadam” minētajiem uzdevumiem “2.Ieviest prasību veidot datu pārvaldības plānus visās jauni izveidotās valsts finansētās pētniecības programmās”, “4.Izveidot DataverseLV vispārējo pētniecības datu repozitoriju tīklu Latvijā”,  “6.Veicināt atvērtās zinātnes principu ieviešanu zinātniskajās institūcijās, t.sk. caur zinātnisko institūciju atvērtās zinātnes stratēģijām, deklarācijām un principu iekļaušanu dokumentos”, “11.Izveidot sistēmu atvērtās piekļuves monitoringam”, “21.Veicināt nacionālo un institucionālo infrastruktūru atbilstību EOSC tehniskajām un satura kvalitātes prasībām (t.sk. FAIRifikācija un integrācija EOSC)”, “22.Sekmēt zinātniskā personāla reģistrēšanu ORCID.”, “24.Nodrošināt datu infrastruktūras (repozitoriju) pieejamību Latvijas sabiedriskās zinātnes iniciatīvām”, “28.Īstenot plašāku Latvijas zinātnisko institūciju un pētnieku pārstāvību Starptautiskās organizācijās, tīklos un konsorcijos”, “29.Ieviest atvērtās zinātnes principus un labo praksi valsts pārvaldes pētījumu datubāzē petijumi.mk.gov.lv, integrējot platformu zinātnisko darbu repozitoriju un pētniecības datu repozitoriju tīklos”, “31.Nodrošināt finansējumu rīku, pakalpoju un e-infrastruktūru pieejamībai pētniekiem un zinātniskajām institūcijām atvērtās zinātnes veicināšanai” un “32.Veicināt Nacionālās zinātniskās darbības informācijas sistēmas (NZDIS) atvērtību, atverot lietojumprogrammas saskarnes (API) un ieviešot atvērtās zinātnes principus sistēmā, kā arī padarot sistēmu modulārāku”.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decembra Līguma Nr. 2-2e/22/503,  "Deleģēšanas līgums par Eiropas akadēmiskā tīkla GEANT autentifikācijas servisa eduGAIN un vispasaules viesabonēšanas pieejas servisa eduroam pakalpojumu nodrošināšanu 2023. -2027.gadam" ir noslēgts saskaņā ar Zinātniskās darbības likuma 13.panta trešās daļas 3.punktu, Valsts pārvaldes iekārtas likuma 40. panta pirmo un otro daļu, 41. panta pirmo daļu, 42. panta pirmo daļu, 43. panta otro daļu, 46.pantu, ievērojot 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38.punktu, pamatojoties uz Ministru kabineta 2015.gada 26.marta rīkojuma Nr.160 “Par Latvijas dalību Eiropas akadēmiskajā tīklā GEANT” 1.2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līdzekļi tiks ieguldīti ar nekomerciāliem mērķiem saistītās darbībās. Finansējuma saņēmējs īstenos projektā atbalstāmās darbības, negūstot ieņēmumus no projekta īstenošanas. Tas īstenos projektu ar saviem cilvēkresursiem, kas būs projekta vadības un īstenošanas personāls, tam sedzot vienīgi faktiskās nepieciešamās izmaksas, kas būs pamatotas un pierādāmas. Finansējuma saņēmējam projektā būs starpnieka (koordinējošā) loma, tas negūs labumu sev. Projekta īstenošanā paredzētie infrastruktūras un programmatūras risinājumi, kā arī to tehniskā ieviešana (ietverot ar to saistīto projektu vadību) un uzturēšana tiks iegādāti atbilstoši publiskā iepirkuma procedūrām. Tāpat pēc iespējas un kur tas ir efektīvi pēc apjoma un specifikas, tiks veikti konsultantu darba iepirkumi (piemēram, lielāku tehnisko specifikāciju izstrādei, risinājumu izpētei u.c.). Līdz ar to finansējuma saņēmējam tiks izslēgta ekonomiskā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zinātnes digitalizācijas un piekļuves EOSC nacionālā mezglā ietvertos pakalpojumus sniedz bez ekskluzivitātes un diskriminācijas, pētniecības sektoram šie pakalpojumi ir brīvi pieejami, līdz ar to tām nav saimniecisks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partneri projektā piedalās ar savu kompetenci. Nav paredzēta finansējuma un aktīvu pārnese no finansējuma saņēmēja uz partneriem, līdz ar to netiek sniegts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apmācība tiek piedāvāta partneriem un pētniecības sektoram bez ekskluzivitātes un diskriminācijas, līdz ar to tas nav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īstenots projekts, kas nav saistīts ar saimnieciskās darbības veikšanu. Finansējuma saņēmējs atbilstoši šo noteikumu 21. punktā uzskaitītajām atbalstāmajām darbībām pakalpojumus sniedz bez ekskluzivitātes un diskriminācijas un pētniecības sektoram šie pakalpojumi ir brīvi pieejami. Sadarbības partneri projektā piedalās ar savu kompetenci un nav paredzēta finansējuma un aktīvu pārnese no finansējuma saņēmēja uz partneriem, līdz ar to netiek sniegts tāds atbalsts, kas kvalificējas kā valsts atbalsts. Sadarbības partneriem projektā  netiek piešķirts finansējums un attiecībā uz tiem nav jāvērtē atbilstība komercdarbības atbalsta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30. novembrim ir sasniedzams šāds iznākuma rādītājs: pētniecības un inovācijas aprīkojuma nominālā vērtība – 2 700 000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noteikumu projekta 6.punktā norādīto nominālo vērtību, ņemot vērā, ka pētniecības un inovāciju aprīkojumam indikatīvi tika plānoti 90% no kopējā pasākumam pieejamā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 SAM rādītāju pasē RC0 08 rādītāja “Pētniecības un inovācijas aprīkojuma nominālā vērtība” aprēķinam izmantots pieņēmums, ka  pētniecības un inovācijas aprīkojuma iegādei būs nepieciešami 3 MEUR, no kuriem 10% tiek plānoti administratīvajām izmaksām. Līdz ar to rādītājs ir aprēķināts korekti – 90% no 3 MEUR ir 2.7 MEUR. Šajā gadījumā rādītāju pasē lietotais apzīmējums “kopējais plānotais finansējums” domāts 3 MEUR nevis kopējā pasākuma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30. novembrim ir sasniedzams šāds iznākuma rādītājs: pētniecības un inovācijas aprīkojuma nominālā vērtība – 2 700 000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30. novembrim ir sasniedzams šāds iznākuma rādītājs: pētniecības un inovācijas aprīkojuma nominālā vērtība – 2 700 000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2.7.apakšpunktā tiek sniegta definīcija "pētniecības infrastruktūra". Lūdzam salāgot sniegtos formulējumus noteikumu projekta 6.punktā un 2.7.apakšpunktā (pētniecības un inovācijas aprīkojums/pētniecības infrastruktūra/) (un ja nepieciešams, iesniegt grozījumus Eiropas Savienības kohēzijas politikas programmā 2021.-2027. gadam  pasākuma rādītāju pasē, lai viennozīmīgi noteiktu, kāds aprīkojums tiks iekļauts nominālajā vērtībā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2.7.punkta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2.7.pētniecības infrastruktūra – pētniecības un inovācijas aprīkojums (iekārtas, resursi un saistītie pakalpojumi), kas atbilst Regulas (ES) Nr.651/2014 2. panta 91.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30. novembrim ir sasniedzams šāds iznākuma rādītājs: pētniecības un inovācijas aprīkojuma nominālā vērtība – 2 700 000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EOSC nacionālā mezgla lietotāju (institūciju) skaits – vismaz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skaidrot, kāpēc noteikta tik zema nominālā vērtība, ņemot vēra faktu, ka Latvijā ir reģistrētas 64 zinātniskās institūcijas, no kurām 22 ir valsts budžeta finansēta zinātniskās institūcijas un kopējais pasākuma finansējums ir 21.75 mil.eur, mērķis- zinātniskās darbības digitalizācija. Mūsuprāt, ja šim mērķim ir atvēlēts tik liels finansējums, tad ar šo ir jānodrošina iespējas visas nacionālās zinātniskās darbības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7.2. apakšpunkts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Rādītājā noteikta minimālā vērtība vismaz 26 institūcijas, kas neizslēdz arī pārējo institūciju iesaisti EOSC kā lietotājiem. Jāatzīmē ka ne visas institūcijas, kas reģistrētas ZI reģistrā mērķtiecīgi plāno ieviest atvērtās zinātnes praksi, tai skaitā šī platforma un pakalpojumi būs jāuztur arī pēc projekta beigām no zinātniskās bāzes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iesaistāmo institūciju saraksts norādīts anotācijā - zinātniskās institūcijas, kas tiek finansētas no zinātnes bāzes finansējuma un citas valsts un privātās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finansētās zinātniskās institūcijas aptver vairāk nekā 90% Latvijas zinātniskās pētniecības aktivitātes. Anotācijā norādīts pētniecības organizāciju saraksts, kuras tiks pieslēgtas EOSC nacionālajam mezglam kā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nacionāla mezgla izveide nodrošinās dažādu līmeņu pakalpojumus. Projekta ieviešanas laikā tiks izstrādāta piekļuves politika dažādu piekļuves līmeņu grupu kategorijām t.sk. to tiesības, pienākumi un resursu izmantošanas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nodrošinās ka pētniecības dati ir atrodami un piekļūstami visiem četrkāršās spirāles modeļa dalībniekiem bez autorizācijas nepieciešamības atvērtajā piekļuvē pieejamajiem pētniecības datiem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nacionālā mezgla izveide primāri tiek mērķēta uz atvērtās zinātnes stratēģijas īstenošanu un tās īstenošanā iesaistīto institūciju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izveidots viens EOSC nacionālā mezgla drošs nacionālais pētniecības un akadēmisko datu pārraides tīkls (turpmāk – tīkls) līdz 2026. gada 1.aprīlim;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vismaz 26 EOSC nacionālā mezgla lietotāji līdz 2029. gada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(turpmāk - IZM) izziņas 2.punktā sniegto skaidrojums, kas atzīmē, ka ne visas institūcijas, kas reģistrētas zinātnisko institūciju reģistrā mērķtiecīgi plāno ieviest atvērtās zinātnes praksi, kā arī, ka šī platforma un pakalpojumi būs jāuztur arī pēc projekta beigām no zinātniskās bāzes finansējuma, īsti nav akceptējama situācija, ka ņemot vērā pasākumam plānoto ievērojamo finansējumu 21.75 milj eur  Eiropas Atvērtās zinātnes mākoņa (turpmāk - EOSC ) nacionālā mezgla droša nacionālā pētniecības un akadēmiskā datu pārraides tīkla izveidei, tikai puse no valsts zinātniskākām institūcijām jeb  vismaz 26 plānotas  kā EOSC nacionālā mezgla lietotāji. Lūdzam IZM izvērtēt iespējas iekļaut MK noteikumos finansējuma saņēmējam nosacījumu par lietotāju skaita palielināšanas plānu, lai nodrošinātu, ka šīs investīcijas ir ar maksimāli lielu nacionālo ietekmi un atdevi.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EOSC nacionālā mezgla lietotāju (institūciju) skaits ir 26, kas aptvers vairāk nekā 90% Latvijas zinātniskās pētniecības aktivitātes (pētniecības personāla skaita un budžeta apjoma aspektā). Noteikumu projektā ir noteikts minimālais sasniedzamais rādītājs - 26 lietotāji (institūcijas) un anotācijā uzskaitīti primāri iesaistāmie lietotāji (institūcijas), kas neizslēdz citu institūciju iesaisti. EOSC nacionālā mezgla publiskā daļa būs pieejama visai sabiedrībai kopumā. Anotācija ir papildināta (20.lp), ka finansējuma saņēmējam, izstrādājot projekta pieteikumu, ir jāiekļauj lietotāju skaita palielināšanas plāns, lai nodrošinātu ka veiktās  investīcijas ir ar maksimāli lielu nacionālo ietekmi un atdevi.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vērtēšanas kritērijos iekļauts  specifiskais atbilstības kritērijs 3.2. "Projekta iesniegumā ir iekļauta informācija par EOSC nacionālā mezgla lietotāju (institūciju) skaita palielināšanas plānu pasākuma nacionālo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 apakšpunktā iekļauts nacionālais rādītājs saistībā ar nepieciešamību palaist EOSC nacionālā mezgla tīklu līdz 01.04.2026., jo ar 31.03.2026. tiek izbeigta esošā Latvijas akadēmiskā pamattīkla uzturēšana saskaņā ar 2010.gada 2.februāra MK noteikumiem Nr.109 par darbības programmas "Uzņēmējdarbība un inovācijas" papildinājuma 2.1.1.3.2. apakšaktivitāti "Informācijas tehnoloģiju infrastruktūras un informācijas sistēmu uzlabošana zinātniskajai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7.2 apakšpunktā iekļauts nacionālais rādītājs, kas nosaka minimālo tīkla lietotāju skaitu līdz 2026.gada 30.oktobrim. Tīklu varēs lietot pirms EOSC mezgla pabeigšanas (noteikumu projekta 7.6. apakšpunktā noteiktais nacionālais rādītājs), kā arī periodā līdz 2029.gada 30.novembrim var tikt pievienoti jauni tīkla lietotāji. Tīkls ir viena no EOSC mezgla sastāvdaļām, kura nodrošinās datu pārraidi un apmaiņu. Pastāv iespēja, ka kāda no organizācijām lietos tikai tīklu. Visu izanalizējot, IZM nacionālo rādītāju skaitu tomēr nesamazinās.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skaidrojumus skatiet izziņas 31.  punktā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Izveidoti EOSC nacionāla mezgla datu izmantošanas pakalpojumi – vismaz 5, līdz 2029.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pasākumā paredzēto darbību apjomu un tvērumu, lūdzam precizēt noteikumu projektā (6. punktā vai 7.3., 7.4., 7.5.apakšpunktā) noteikto rādītāju formulējumu, paredzot, ka izveidotie pakalpojumi lietotājiem ir pieejami un to funkcionalitāte pilnībā darbojas, un t.sk. ir atbilstoši FAIR datu pārvaldības principiem, vai likt atsauci uz punktu, kas skaidro, kas tiek uzskatīts kā pabeigts pakalpojums (piemēram, precizējot 22.un 23.punkta redakciju un liekot atsauci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punkti 7.3., 7.4. un 7.5.  paredzot, ka EOSC nacionālais mezgls un izveidotie pakalpojumi, ir lietotājiem pieejami, ar pilnībā darbojošos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EOSC nacionālajam mezglam ir jāveido savienojums ar EOSC EU mezglu, attiecīgi izveidotajam risinājumam būs jāievēro EOSC EU mezgla, EOSC federācijas un FAIR datu pārvaldības principu prasības (papildināta anotācija 22.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uz to, ka noteikumu projekta 32.punktā ir norādīts, ka finansējuma saņēmējs sagatavo un projekta uzraudzības padomei iesniedz ārējo ekspertu atzinumu par 7. punktā minēto nacionālo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arī anotāciju (35. lpp), ka sadarbības iestāde pārbauda izdevumus un sasniegto rezultātu, t.i., izveidoto pakalpojumu esamību, un var piesaistīt ekspertus EOSC radīto pakalpojumu izveides un to funkcionalitātes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Izveidoti, lietotājiem pieejami, ar pilnībā darbojošos funkcionalitāti EOSC nacionālā mezgla pārvaldības un drošības pakalpojumi – vismaz 3, līdz 2029.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lietotājiem pieejami, ar pilnībā darbojošos funkcionalitāti EOSC nacionāla mezgla datu izmantošanas pakalpojumi – vismaz 5, līdz 2029.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lietotājiem pieejams, ar pilnībā darbojošos funkcionalitāti EOSC nacionālais mezgls ar tīkla, drošības pakalpojumu, datu izmantošanas rīku pārvaldības un meklēšanas vidi un datu drošās glabāšanas un apstrādes vidi – 1, līdz 2029. gada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Izveidoti, lietotājiem pieejami, ar pilnībā darbojošos funkcionalitāti EOSC nacionāla mezgla datu izmantošanas pakalpojumi – vismaz 5, līdz 2029. gada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attiecināmais finansējums ir  21 750 002 euro (tai skaitā elastības finansējums – 5 007 778 euro), tai skaitā Eiropas Reģionālās attīstības fonda finansējums 18 487 501 euro (tai skaitā elastības finansējums – 4 256 611 euro) un valsts budžeta līdzfinansējums – 3 262 501 euro (tai skaitā elastības finansējums – 751 167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īstenošanai plānotās augstās izmaksas 21.75 mEUR, kā arī ANM plāna ietvaros īstenoto ar zinātnes digitalizāciju saistīto investīciju 2.1.3.1.i  "Atbalsts atvērtās zinātnes ieviešanai praksē, kā arī izveidoti risinājumi zinātnes datu koplietošanai un dalībai ES atvērtajā zinātnes mākonī"  (</w:t>
            </w:r>
            <w:r w:rsidR="00000000" w:rsidRPr="00000000" w:rsidDel="00000000">
              <w:rPr>
                <w:rtl w:val="0"/>
              </w:rPr>
              <w:t xml:space="preserve">3.44 milj eur</w:t>
            </w:r>
            <w:r w:rsidR="00000000" w:rsidRPr="00000000" w:rsidDel="00000000">
              <w:rPr>
                <w:rtl w:val="0"/>
              </w:rPr>
              <w:t xml:space="preserve">), ka arī  plānoto lietotāju skaitu- tikai ap 20 no visām valstī esošajām 64 zinātniskajām institūcijām, kā arī plānoto projektam īstenošanai piesaistīto darbinieku skaitu- vismaz 30, kā arī ņemot vērā to, ka visa Eiropa šobrīd strādā pie zinātnes digitalizācijas un atvērtās zinātnes risinājumiem, lūdzam IZM sniegt informāciju, vai IZM  ir apzinājis situāciju Eiropā/kaimiņvalstīs par jau tirgū eksistējošiem risinājumiem un piemēram, pieslēgumu izmaksām, zinātnes digitalizācijas jau izstrādātajiem/iespējams jau standartizētajiem risinājumiem, kas pamatotu šim pasākumam plānoto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IZM veikto situācijas izpēti par jau tirgū eksistējošiem risinājumiem un ES dalībvalstu ieguldījumiem atvērtajā zinātnē.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uzsākts EOSC federācijas izveidošanas procesu ES līmenī. EOSC paredz izveidot ‘sistēmu sistēmas’ tipa infrastruktūru, kas padarīs zinātni efektīvāku un produktīvāku. EOSC ‘sistēmu sistēmas’ jeb mezglu tīkls ietvers valsts, reģionālos, tematiskos, kā arī  Eiropas mēroga e-infrastruktūras un EOSC ES mezglu. Lai nodrošinātu Latvijas pētniecības ekosistēmas dalībniekiem piekļuvi citu EOSC tīkla mezglu resursiem, pakalpojumiem ir nepieciešams primārais lietotāju ieejas punkts. Tā pat Latvijā EOSC LV mezgla izveide ļaus nodrošināt pētniecības sistēmas fragmentācijas mazināšanu nacionālā līmenī un ilgtermiņā paredzama pētniecības izmaksu samazināšanās novēršot dubultā finansējuma risku un pētniecības infrastruktūras noslodzes līdzsvarošanas iespējas. Plānojot investīcijas tika ņemts vērā EOSC ES mezgla piedāvātais pamatpakalpojumu klāsts un apjoms. EOSC nacionālā mezgla izveide, pētniecības infrastruktūras standartizācija un sadarbspēja nacionālā līmenī ir priekšnoteikums dalībai EOSC 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Apvārsnis Eiropa projektu ietvaros ikgadēji tiek veiktas aptaujas par valstu ieguldījumu EOSC un Atvērtajā zinātnē. Aktuālā informācija pieejama par 2023 gadu. Valstu ieguldījums ir atšķirīgs gadu no gada. Aptaujā valstis ar investīcijām vairāk nekā 20 milj. EUR 2023.gadā - Vācija, Francija, Nīderlande, Polija, Spānija, Itālija, Čehija, līdzīga apjoma investīcijas minētajām valstīm veiktas arī gadu iepriekš. Īrija 2022. un 2023.gadā šajā jomā investēja vairāk nekā 10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https://eoscobservatory.eosc-portal.eu/eoscreadiness/2023/general/investments#total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Apvārsnis Eiropa programmas ietvaros ir ieguldījis vairāk nekā 490 milj. EUR EOSC iniciatīvā, tai skaitā EOSC ES mezgla platformas izveidei organizēts iepirkums ~36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pasākumā nav plānots izstrādāt jaunus risinājumus, bet balstīties uz esošajām sistēmām, starptautiskiem standartiem, nodrošināt nacionālā līmenī esošo sistēmu savienojamību, kapacitātes un jaudas palielināšanu, kā arī kiberdrošības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tieši ieguldījumi EOSC un Atvērtās zinātnes prakses īstenošanā paredzēti ANM investīcijā 2.1.3.1.i un šī noteikumu projekta pasākumā 1.1.1.6., kas kopā 7 gadu periodā paredz investīcijas 20 186 224  EUR apmērā (25 194 002 EUR ar elastības finansējumu). Latvija vidēji gadā ieguldīs ~2,9 milj. EUR (~3,6 milj. EUR ar elastības finansējumu), jeb ~150,72 EUR (~188,11 EUR ar elastības finansējumu) uz vienu pētniecībā un attīstībā (t.sk akadēmiskajos amatos) nodarbināto. Latvijā saskaņā ar atvērtajiem datiem 2023.gadā pētniecībā un attīstībā (t.sk akadēmiskajos amatos) nodarbināto skaits bija 19113.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pētniecības infrastruktūras digitalizācijā, tās kiberdrošības pārvaldībā un pētniecības datu drošības prasību ievērošanā līdz šim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attiecināmais finansējums ir  21 750 002 euro (tai skaitā elastības finansējums – 5 007 778 euro), tai skaitā ERAF finansējums 18 487 501 euro (tai skaitā elastības finansējums – 4 256 611 euro) un valsts budžeta līdzfinansējums – 3 262 501 euro (tai skaitā elastības finansējums – 751 167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Eiropas Reģionālās attīstības fonda finansējuma apmērs nepārsniedz 85 procentus no projekta kopējā attiecināmā finansējuma. Pārējo finansējumu – ne mazāk kā 15 procentus no kopējā projekta attiecināmā finansējuma – veido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12.punktā vārdus "ne mazāk kā" pirms noteiktās valsts budžeta līdzfinansējuma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svītroti vārdi "ne mazāk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Maksimālais attiecināmais ERAF finansējuma apmērs nepārsniedz 85 procentus no projekta kopējā attiecināmā finansējuma. Pārējo finansējumu – 15 procentus no kopējā projekta attiecināmā finansējuma – veido valsts budžeta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EOSC nacionālā mezgla izveidošana, kas ietver ar EOSC Eiropas Savienības mezgla savienojama un tā federācijas noteikumiem atbilstošas infrastruktūras un datu izmantošanas pakalpojumu izstrādi, ieviešanu un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atbalstāmo darbību uzskaitījumu noteikumu projekta 21., 22., 23. punktā, nodrošinot to nepārprotamu saturu un savstarpēju nodalīšanu. Piemēram, bet neaprobežojoties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21.1. apakšpunktā norādītā darbība ir EOSC nacionālā mezgla izveidošana kopumā, vienlaikus pārējos apakšpunktos uzskaitītas EOSC nacionālā mezgla izveidošanas sastāvdaļas - 21.1. apakšpunkta saturs potenciāli jāpārceļ uz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21.5. apakšpunkts paredz virtuālās vides darbam ar datiem un rīkiem (..) izstrādi, ieviešanu un nodrošināšanu, ko saturiski paredz ari 21.6.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21.7. apakšpunkts ietver uzturēšanas, pārvaldības, attīstības un atbalsta organizācijas un sistēmas izveidi projekta norises laikā - nav saprotams, ar kādu saturu šī darbība nodalāma no 21.9. apakšpunkta -projekta vadības un īstenošanas nodrošināšanas, un no 22. punktā minētās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22. punkts ietver arī uzturēšanas izmaksas, taču anotācijā norādīts, ka pēc investīcijas projekta noslēguma EOSC nacionālā mezgla un tā pakalpojumu uzturēšanas izmaksas paredzēts segt no Zinātniskās darbības bāzes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22. punktā minēta pakalpojumu pārbūve, pielāgošana, adaptācija - nav saprotams, kā šīs darbības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21.8. apakšpunkts ietver kapacitātes paaugstināšanu par EOSC nacionālā mezgla izmantošanu, vienlaikus 23. punktā paredzēta apmācība un informēšana par darbu ar EOSC nacionālā mezgla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precizējam Noteikumu projekta 21., 22. un 23. punktu un apakšpunktus un anotāciju. Apakšpunktu numerācija ir mainījusies, jo viens no apakšpunktiem tika apvienots.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21.1. Platforma, kas nodrošina savienošanos ar EU ESOC mezglu; nosacījumu, tehnisko un pārvaldības principu izstrādi un ieviešanu, kas nodrošina Latvijas institūciju infrastruktūras un resursu savienošanu ar EU ESOC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21.3 un 21.4 minētās atbalstāmās darbības ir paredzētas EOSC nacionālā meezgla risinājumiem, tikmēr 21.1. nosaka atbalstāmās darbības paša EOSC nacionālā mezgla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21.5. precizējošās daļas pārceltas uz anotāciju: “tīkla, kiberdrošības pakalpojumu, pētniecības datu digitālo pakalpojumu, datu, resursu un rīku pārvaldības, meklēšanas, un sadarbības vides (lietotāju un administratoru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21.6. norādītās darbības ir  ieviešanas aktivitātes, kas aptver tieši ieviešanas procesu, savukārt apakšpunktā 21.8. ir norādīta projekta vadība kā tāda. Papildināta anotācija ar skaidrojumu par 21.6. apakšpunkta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EOSC nacionālā mezgla pārvaldības un savienošanas platformas izveidošana, kas ietver savienojumu ar Eiropas Savienības EOSC mezglu un tā federācijas noteikumiem atbilstošas digitālās pētniecības infrastruktūras un  pakalpojumu pārvaldības un savienojumu risinājumu izstrādi, ieviešanu un nodrošināšanu projekta norises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Ar pētniecības procesu saistītā sadarbības partneru personāla un pētniecības organizāciju personāla, kuri izmanto vai plāno izmantot EOSC nacionālā mezgla pakalpojumus, kompetenču pilnveide EOSC nacionālā mezgla pakalpojumu izmantošanas un zinātnes digitālās transformācijas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pasākuma mērķis un atbalstāmās darbības ir vērstas tieši uz EOSC nacionālā mezgla izveidi un rādītāji uz tā lietošanu, lūdzam izslēgt vai pamatot personāla kapacitātes stiprināšanas aktivitāšu attiecināmību ne tikai EOSC nacionālā mezgla pakalpojumiem, bet zinātnes digitālās transformācijas jomā plašākā nozīmē, un to sinerģiju ar citām investīcijām/ atbalsta pasākumiem kapacitātes stiprināšanai digitālās transformācijas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atbalstāmā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21.1, 21.2., 21.3., 21.4., 21.5., 21.6., 21.7. apakšpunktos minēto sistēmu un pakalpojumu ieviešana ietver arī ar to izveidi un ieviešanu saistīto prasību un biznesa procesu analīzi un izstrādi; esošās situācijas analīzi un auditus; labāko prakšu analīzi; tehnoloģisko standartu, datu standartu un struktūru, procedūru un nosacījumu, pārvaldības pakalpojumu atlasi, izstrādi, pielāgošanu un ieviešanu; pakalpojumu tehnisko projektēšanu, izstrādi, sistēmu arhitektūras un integrāciju  izveidi; dokumentācijas sagatavošanu; biznesa procesu maiņu saistībā ar digitalizāciju (iekšējās procedūras un funkcijas) un jaunu funkciju un pakalpojumu izveidi; datu sagatavošanu, digitalizāciju, pārnešanu un pārvaldību; pētniecības organizāciju sadarbības procedūru izveidi digitalizēto pakalpojumu sniegšanai; pakalpojumu koplietošanas un sadarbības organizatorisko struktūru, sadarbības procedūru un nosacījumu izstrādi un ieviešanu EOSC nacionālajā mezglā un pētniecības organizācijās; reģistrēšanas un dalības maksu (projekta īstenošanas laikā) starptautiskajās organizācijās un tīklos, zinātniskā personāla, pētniecības organizāciju administratīvā personāla, sistēmu lietotāju un apkalpojošā personāla mācības un informēšanu par darbu ar EOSC nacionālā mezgla pakalpojumiem, ieskaitot pasākumus un materiālu sagatavošanu, reģistrēšanu vai dalību starptautiskajās organizācijās un tīklos, lai nodrošinātu starptautisku sadarbību un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anotācijā skaidrot "reģistrēšanas un dalības maksa (projekta īstenošanas laikā) starptautiskajās organizācijās un tīklos, lai nodrošinātu starptautisku sadarbību un datu apmaiņu" izmaksu nepieciešamību. Ņemot vērā, ka EOSC nacionālais mezgls jau tiek veidots ar datu apmaiņu un sadarbības veicināšanu kā pamata mērķiem, t.sk. ir jāsasniedz noteikts tā lietotāju skaits, nav saprotama minētās darbības sasaiste ar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darbība 23. punktā atkārtojas un, ja tā tiek saglabāta, aicinām redakcijas apvienot.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23. punkts un atbilstoša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21.1, 21.2., 21.3., 21.4., 21.5., 21.6., 21.7. apakšpunktos minēto sistēmu un pakalpojumu ieviešana ietver arī ar to izveidi un ieviešanu saistīto prasību un biznesa procesu analīzi un izstrādi; esošās situācijas analīzi un auditus; labāko prakšu analīzi; tehnoloģisko standartu, datu standartu un struktūru, procedūru un nosacījumu, pārvaldības pakalpojumu atlasi, izstrādi, pielāgošanu un ieviešanu; pakalpojumu tehnisko projektēšanu, izstrādi, sistēmu arhitektūras un integrāciju  izveidi; dokumentācijas sagatavošanu; biznesa procesu maiņu saistībā ar digitalizāciju (iekšējās procedūras un funkcijas) un jaunu funkciju un pakalpojumu izveidi; datu sagatavošanu, digitalizāciju, pārnešanu un pārvaldību; pētniecības organizāciju sadarbības procedūru izveidi digitalizēto pakalpojumu sniegšanai; pakalpojumu koplietošanas un sadarbības organizatorisko struktūru, sadarbības procedūru un nosacījumu izstrādi un ieviešanu EOSC nacionālajā mezglā un pētniecības organizācijās; reģistrēšanas un dalības maksu (projekta īstenošanas laikā) starptautiskajās organizācijās un tīklos, zinātniskā personāla, pētniecības organizāciju administratīvā personāla, sistēmu lietotāju un apkalpojošā personāla mācības un informēšanu par darbu ar EOSC nacionālā mezgla pakalpojumiem, ieskaitot pasākumus un materiālu sagatavošanu, reģistrēšanu vai dalību starptautiskajās organizācijās un tīklos, lai nodrošinātu starptautisku sadarbību un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skaidrot atbalstāmās darbības "biznesa procesu maiņa saistībā ar digitalizāciju (iekšējās procedūras un funkcijas)" nepieciešamību. Ņemot vērā, ka pasākumā tiek izveidots jauns EOSC nacionālais mezgls, nevis digitalizēti esoši organizāciju procesi, paredzētas kapacitātes celšanas aktivitātes iesaistītajām institūcijām EOSC nacionālā mezgla izmantošanai, nevis to procesu pārveide, tādējādi nav saprotama darbības sasaiste ar pasākuma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23. punkts un atbilstoša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ar apmācību, semināru, diskusiju un pieredzes apmaiņas pasākumu organizēšanu un īstenošanu saistītās izmaksas finansējuma saņēmējam, tai skaitā telpu īres izmaksas (ja projekta aktivitāšu īstenošanai nepieciešams īrēt telpas ārpus finansējuma saņēmēja vai projekta īstenošanas sadarbības partnera juridiskās un faktiskās uzturēšanās adreses) un izdales materiālu nodrošinājuma un publicēšanas izmaksas, dalībnieku piesaistes un reprezentācijas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nekorektas interpretācijas iespējas, lūdzam iekļaut noteikumu projekta 25.7.apakšpunktā atsauci uz noteikumu 21.7.apakšunktu (ar EOSC nacionālā mezgla pakalpojumus, infrastruktūras un pakalpojumu ieviešanu, attīstību un pārvaldību saistītā personāla kompetenču pilnveide), kas pamato šo izmaksu pasākuma ietvaros atbalstāmajām un projekta īstenošanai nepieciešamajām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24.7 apakšpunkts papildināts ar atsauci uz noteikumu projekta atbalstāmajām darbībām 21.7.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ar apmācību, semināru, konferenču, diskusiju un pieredzes apmaiņas pasākumu organizēšanu un īstenošanu saistītās izmaksas finansējuma saņēmējam, tai skaitā telpu īres izmaksas (ja projekta aktivitāšu īstenošanai nepieciešams īrēt telpas ārpus finansējuma saņēmēja vai projekta īstenošanas sadarbības partnera juridiskās un faktiskās uzturēšanās adreses) un izdales materiālu nodrošinājuma un publicēšanas izmaksas, dalībnieku piesaistes un reprezentācijas izmaksas šo noteikumu 21.7.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licenču iegādes izmaksas finansējuma saņēmējam un sadarbības partneriem, tai skaitā licenču atjauninājumu iegādes izmaksas šo noteikumu 21.1., 21.2., 21.3., 21.4., 21.5., 21.6., 21.7. un 21.8. punktā minēto atbalstāmo darbību īstenošanai licenču darbības periodā, kas nepārsniedz projekta īstenošanas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paredzēta arī licenču nomas attiecināšana, taču 25.9. apakšpunktā tikai iegāde - lūdzam saskaņot atbalstāmās darbības un attiecināmās izmaksas, lai mazinātu neatbilstoši veiktu izdevumu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25.9 punkts un atbilstoša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licenču iegādes un nomas izmaksas, tai skaitā licenču atjauninājumu iegādes izmaksas finansējuma saņēmējam šo noteikumu 21.1., 21.2., 21.3., 21.4., 21.5. apakšpunktā minētās atbalstāmās darbības īstenošanai, kā arī licenču atjauninājumu iegādes izmaksas licenču darbības periodā, kas nepārsniedz projekta īstenošanas laiku, tai skaitā par mākoņpakalpojumiem un ar tiem saistītajiem iegādes, ieviešanas un konfigurēšanas pakalpojumiem;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ārvalstu ekspertu piesaistes izmaksas (t.sk. personāla atlases kompānijas pakalpojumi, vakanču publicēšanas izmaksas un ekspertu komandējuma izdevumu segšana) finansējuma saņēmējam šo noteikumu 21.1., 21.2., 21.3., 21.4., 21.5., 21.6. un 21.7.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izmaksu nedublēšanos, lūdzam pārskatīt un dzēst "ekspertu komandējumu izdevumu segšanu", jo iekšzemes un ārvalstu komandējumu izdevumu segšana ir noteikta 25.3. un 25.4.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24.10 apakšpunktā dzēsti vārdi "un ekspertu komandējuma izdevumu segšana" un veikti citi papildinājumi.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ekspertus plānots nodarbināt uz darba līguma pamata (uz šīm personām attiektos 24.3. un 24.4.punkti), tomēr būtu nepieciešams ieplānot ekspertu piesaistes izmaksas (t.sk. personāla atlases kompānijas pakalpojumi, vakanču publicēšanas izmaksas , kuras ir norādītas 24.12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iesaistīt arī citus ārvalstu ekspertus. Šīm personām nav plānots atalgojumus, bet būtu nepieciešams kompensēt transporta un uzturēšanās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24.12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ārvalstu ekspertu piesaistes izmaksas (t.sk. personāla atlases kompānijas pakalpojumi, vakanču publicēšanas izmaksas, pārcelšanās kompensācijas izmaksas saistībā ar darba pienākumu veikšanu Latvijā, transporta un izmitināšanas izmaksu segšana, ja ārvalstu eksperts projektā darbu veic bez atlīdzības) finansējuma saņēmējam šo noteikumu 21.1., 21.2., 21.3., 21.4., 21.5., 21.6. un 21.7. punktā minēto atbalstāmo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ārvalstu ekspertu piesaistes izmaksas (t.sk. personāla atlases kompānijas pakalpojumi, vakanču publicēšanas izmaksas,  pārcelšanās kompensācijas izmaksas saistībā ar darba pienākumu veikšanu Latvijā, transporta un izmitināšanas izmaksu segšana, ja ārvalstu eksperts projektā darbu veic bez atlīdzības) finansējuma saņēmējam šo noteikumu 21.1., 21.2., 21.3., 21.4., 21.5., 21.6. un 21.7.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ārvalstu ekspertu piesaistes izmaksas (t.sk. ekspertu komandējuma izdevumu segšanu) finansējuma saņēmējam šo noteikumu 21.1., 21.2., 21.3., 21.4., 21.5., 21.6., 21.7. un 21.8.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25.10. apakšpunktu vai skaidri nodalīt attiecināmo izmaksu saturu,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25.1.2. apakšpunkts jau paredz personāla izmaksas ekspertiem, tostarp ārvalstu;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25.3. un 25.4. apakšpunkti jau paredz komandējumu izmaksas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25.8. apakšpunkts jau paredz pakalpojumu izmaksas, ja ekspertu piesaistītu ar uzņēmuma nevis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25.10. apakšpunkts nosaka ārvalstu ekspertu piesaistes izmaksas finansējuma saņēmējam. Šīs izmaksas var ietvert personāla atlases kompānijas pakalpojumus, vakanču publicēšanas izmaksas,  ekspertu komandējuma izmaksas piesaistes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25.10 punkts un atbilstoša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ārvalstu ekspertu piesaistes izmaksas (t.sk. personāla atlases kompānijas pakalpojumi, vakanču publicēšanas izmaksas,  pārcelšanās kompensācijas izmaksas saistībā ar darba pienākumu veikšanu Latvijā, transporta un izmitināšanas izmaksu segšana, ja ārvalstu eksperts projektā darbu veic bez atlīdzības) finansējuma saņēmējam šo noteikumu 21.1., 21.2., 21.3., 21.4., 21.5., 21.6. un 21.7.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24.2 apakšpunktā minētās netiešās attiecināmās izmaksas plāno kā vienu izmaksu pozīciju, piemērojot netiešo izmaksu vienoto likmi 15 procentu apmērā no šo noteikumu 25.1. apakšpunktā minētajām tiešajām personāla izmaksām, kas radušās uz darba līguma, uzņēmuma līguma vai rīkojuma par iecelšanu amatā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iterācijā ietvertos papildinājumus MK noteikumu projekta 26.punktā, lūdzam dzēst vārdus "uzņēmuma līguma", jo saskaņā ar vadošās iestādes vadlīniju Nr.1.2. ''Vadlīnijas attiecināmo izmaksu noteikšanai Eiropas Savienības kohēzijas politikas programmas 2021.-2027.gada plānošanas periodā" 7.1.1. apakšpunktu netiešo izmaksu vienoto likmi 15 procentu apmērā rēķina no šo noteikumu 25.1. apakšpunktā minētajām tiešajām personāla izmaksām, kas radušās tikai uz darba līguma vai rīkojuma par iecelšanu amatā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vārdi “uzņēmuma līguma”.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23.2 apakšpunktā minētās netiešās attiecināmās izmaksas plāno kā vienu izmaksu pozīciju, piemērojot netiešo izmaksu vienoto likmi 15 procentu apmērā no šo noteikumu 24.1. apakšpunktā minētajām tiešajām personāla izmaksām, kas radušās uz darba līguma vai rīkojuma par iecelšanu amatā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saņēmējam izmaksas ir attiecināmas, ja tās atbilst šajos noteikumos minētajām izmaksu pozīcijām un ir radušās no 2025.gada 1.februāra.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izmaksas plānots attiecināt pirms noteikumu projekta apstiprināšanas līgumu par projekta īstenošanu noslēgšanas brīža, lūdzam papildināt noteikumu projektu ar nosacījumu, ka projekta iesniegumā neiekļauj un finansējumu nepiešķir pabeigtām darbībām. Vienlaicīgi lūdzam anotācijā skaidrot, kas tiks saprasts ar "darbībām" šo noteikumu kontekstā saistībā ar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anotācijā papildināt sniegto skaidrojumu par finanšu plūsmas nodrošināšanas nosacījumiem attiecībā uz izmaksām, kas rodas pirms MK noteikumu apstiprināšanas un līguma (vienošanās) par projekta īstenošanu noslēgšanas, paredzot atbildīgās iestādes/finansējuma saņēmēja pienākumus un atbildību gadījumos, ja pirms projekta apstiprināšanas būs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saņēmējam izmaksas ir attiecināmas no Ministru kabineta noteikumu spēkā stāšanās dienas, ja tās atbilst šo noteikumu 21. punktā minētajām atbalstāmajām darbībām. Tādu darbību izmaksas, kas pabeigtas pirms projekta iesnieguma iesniegšanas sadarbības iestādei, nav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labota un papildināta arī anotācijā (28.lp.).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uzņemas pilnu juridisku un finansiālu atbildību par izmaksām kas radušās pirms līguma par projekta īstenošanu noslēgšanas ar sadarbības iestādi, tostarp, izdevumus, kas neatbilst projektā atbalstāmām darbībām un/vai apstiprinātajām izmaksu pozīcijām,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“Izglītības un zinātnes ministrijai nekavējoties informēt Ministru kabinetu, ja izmaksas, kas 1.1.1.6. pasākuma atlases kārtā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finansējuma saņēmējam izmaksas ir attiecināmas no šo noteikumu spēkā stāšanās dienas, ja tās atbilst šo noteikumu 21. punktā minētajām atbalstāmajām darbībām. Projekta iesniegumā neiekļauj un finansējumu nepiešķir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17. punktā minētajiem sadarbības partneriem izmaksas ir attiecināmas pēc šo noteikumu 18. punktā minētā sadarbības līguma noslēgšanas, ja tās atbilst šajos noteikumos minētajām izmaksu pozīcijām un ir radušās no šo noteikumu apstiprināšanas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projektā un anotācijā norādīto informāciju par sadarbības partnera izmaksu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projekta sadarbības partneriem izmaksas ir attiecināmas pēc sadarbības līgumu noslēgšanas, bet ne agrāk kā no dienas, kad noslēgta vienošanās par projekta īstenošanu, vienlaikus noteikumu projekta 29.punktā norādīts, ka sadarbības partneriem izmaksas ir attiecināmas pēc sadarbības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vienošanos par projekta īstenošanas slēdz sadarbības iestāde ar projekta iesniedzēju. Pirms projekta iesnieguma iesniegšanas iestādē (saskaņā ar noteikumu projekta 18. punktu) projekta iesniedzējs ar sadarbības partneri slēdz sadarbības līgumu, līdz ar to sadarbības partnerim arī izmaksas var rasties starpposmā - starp sadarbības līguma un vienošanās par projekta īstenošanu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projektā, gan anotācijā veikti precizējumi, kas nosaka, ka sadarbības partnerim pasākuma ietvaros nav attiecināmu izmaksu. 29. punkts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līgumu par projekta īstenošanu finansējuma saņēmējam ir paredzēts avanss, to var izmaksāt pa daļām. Viens avansa maksājums nepārsniedz 30 procentus no projektam piešķirtā  finansējuma un valsts budžeta līdzfinansējuma kopsummas. Avansa un starpposma maksājumu kopsumma var būt 95 procenti no projektam piešķirtā ERAF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Ministru kabineta noteikumos par specifisko atbalsta mērķi tiek paredzēta avansa un starpposma maksājuma kopsumma Ministru kabineta 2023.gada 25.aprīļa noteikumu Nr.205 “Valsts budžeta līdzekļu plānošanas kārtība Eiropas Savienības fondu projektu īstenošanai un maksājumu veikšanai 2021.–2027. gada plānošanas periodā” 18.punktā noteiktajā apjomā, tad anotācijā ir īpaši jāpamato šāda avansa un starpposma maksājuma kopsummas apmēra nepieciešamība. Minēto nosaka arī Ministru kabineta 2023.gada 25.aprīļa sēdes protokollēmuma Nr.22  25.§ 3.punkts. Ņemot vērā iepriekšminēto, lūdzam papildāt noteikumu projekta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ir viennozīmīga izpratne, no kādiem finanšu līdzekļiem tiek aprēķināts avansa maksājums un nodrošinātu atbilstību Eiropas Savienības fondus regulējošajiem normatīvajiem aktiem, lūdzam noteikumu projekta 30.punkta otro teikumu papildināt aiz vārdiem "projektam piešķirtā" ar abreviatūru "ERAF".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30. punkta redakcija, nosakot, ka avansa un starpposma maksājumu kopsumma var būt 100 procenti no projektam piešķirtā ERAF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1.punktu par finansējuma saņēmēja deleģētajām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saņēmējam paredzēto avansu var izmaksāt pa daļām. Kopējais avansa maksājums nepārsniedz 30 procentus no projektam piešķirtā ERAF finansējuma un valsts budžeta līdzfinansējuma kopsummas. Avansa un starpposma maksājumu kopsumma var būt 100 procenti no projektam piešķirtā ERAF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nodaļā (vai konkrēti 46.punktā) nav skaidri norādīts Eiropas Atvērtās zinātnes mākoņa (EOSC) nacionālā mezgla tiesiskais valdītājs projekta laikā un pēc tā noslēguma. Šāda norāde ir būtiska, lai nodrošinātu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1)Kiberdrošības nodrošināšana. Saskaņā ar Nacionālā kiberdrošības likuma un citu normatīvo aktu prasībām nepieciešams noteikt atbildīgo institūciju vai organizāciju, kas nodrošinās EOSC nacionālā mezgla uzturēšanu, drošību un kiberdrošības incidentu pārvaldību. Tas ir būtiski, lai garantētu pētniecības datu drošu glabāšanu un piekļuves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 un infrastruktūras uzturēšana. EOSC nacionālā mezgla turētāja noteikšana ir svarīga ilgtspējas nodrošināšanai pēc projekta beigām. Nepietiek tikai ar projekta īstenošanas plānu – jāparedz arī, kas pārņems infrastruktūru pēc 2029. gada 31. decembra, lai novērstu darbības pārtraukumu vai neskaidrības infrastruktūras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sadalījuma precizēšana. Ja EOSC nacionālā mezgla nodrošinātā iesaistītas vairākas institūcijas, jānosaka, kura institūcija būs atbildīga par EOSC nacionālā mezgla pārvaldību dažādās situācijās 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Kiberdrošības incidentu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Lietotāju atbalsta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Atbilstība GDPR prasībām pētniecības datu apstrādē un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44. punktu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nacionālais mezgls un tajā iekļauto  pakalpojumu tiesiskais valdītājs Nacionālā kiberdrošības likuma izpratnē projekta laikā un pēc tā noslēguma ir finansējuma saņēmējs. Finansējuma saņēmējam līdz projekta apstiprināšanai Izglītības un zinātnes ministrija deleģēs Nacionālais pētniecības un izglītības tīkla  (turpmāk - NREN) funkcijas. Šāda prakse jau tiek īstenota visās citās ES dalībvalstīs, kur NREN ir atbildīgs par pētniecības digitālās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-Nepārtrauktu darbību un tehnisko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pārvaldību un datu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kopienas atbalstu un iesaisti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sadalījums EOSC nacionālā mezgla kiberdrošības pārvaldībā. Finansējuma saņēmējs būs atbildīgs par EOSC nacionālā mezgla centrālās infrastruktūras uzturēšanu, drošību un lietotāju atbalstu, tostarp monitoringu un kiberdrošības incidentu pārvaldību. Savukārt digitālā infrastruktūra, kas atradīsies aiz pētniecības organizāciju ugunsmūra, būs šo institūciju pārziņā, ieskaitot drošību un GDPR prasību ievērošanu. Tiks izveidota sadarbības kārtība un noteikumi starp finansējuma saņēmēju un institūcijām, lai nodrošinātu efektīvu komunikāciju, vienotu pieeju drošībai un vienmērīgu infrastruktūras darbību. Finansējuma saņēmējs nodrošinās EOSC nacionālā mezgla un tajā iekļauto pakalpojumu lietotāju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noteikts, ka "Projekta īstenošanas uzraudzībai finansējuma saņēmējs izveido projekta uzraudzības padomi." Lūdzam anotācijā precizēt un detalizēti skaidrot, kā izpaudīsies šīs padomes uzraudzības funkcija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būs padomes konkrētie pienākumi un atbildība, kā arī kāda būs tās loma un iesaistes līmenis projekta īstenošanas procesā. Nepieciešams skaidrojums par to, vai padomei būs tikai konsultatīva funkcija vai arī tai tiks piešķirtas konkrētas lēmumu pieņemšanas tiesības un uzraudzības mehānismi, kas varētu ietekmēt projekta īstenošanas saturu un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32.punkts un papildināta anotācija. Skatīt arī Noteikumu projekta 33.punktu, kur ir skaidrotas uzraudzības padomes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padomei būs tikai konsultatīva un projekta īstenošanas kvalitātes uzraudzības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kas ir saskaņots ar Izglītības un zinātnes ministriju. Pirmo projekta uzraudzības padomes sēdi sasauc ne vēlāk kā trīs mēnešus pēc līguma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Izglītības un zinātnes ministrijas izveidotā projekta uzraudzības padome savu darbību nodrošinās tajā iesaistīto institūciju un organizāciju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padomi veidos finansējuma saņēmējs. Anotācija papildināta ar to, ka izveidotā projekta uzraudzības padome savu darbību nodrošinās tajā iesaistīto institūciju un organizāciju pieejamā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kas ir saskaņots ar Izglītības un zinātnes ministriju. Pirmo projekta uzraudzības padomes sēdi sasauc ne vēlāk kā trīs mēnešus pēc līguma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īstenošanas vieta ir Latvijas Republikas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un papildināt ar atbildīgo institūciju un jomām,kas nosaka tiesisko valdītāju projekta laikā un pēc projekta realizācijas, kā arī infrastruktūras nodošanas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laikā Eiropas Atvērtās zinātnes mākoņa nacionālā mezgla tiesiskais valdītājs Nacionālā kiberdrošības likuma izpratnē ir finansējuma saņēmējs, kurš nodrošina infrastruktūras pārvaldību un atbilstību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Pēc projekta īstenošanas EOSC nacionālā mezgla tiesiskais valdītājs Nacionālā kiberdrošības likuma izpratnē ir atbildīgā iestāde (Izglītības un zinātnes ministrija), kas nodrošina infrastruktūras turpmāko uzturēšanu, attīstību un atbilstību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līdz projekta noslēgumam nodrošina EOSC nacionālā mezgla infrastruktūras un ar to saistītās dokumentācijas nodošanu atbildīgajai iestādei, ieskaitot: tehniskās infrastruktūras aprakstu un dokumentāciju, drošības pārvaldības politiku un infrastruktūras uzturēšanas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tekstā Kiberdrošības likuma nosaukumu, papildinot ar vārdu "Nacionālās", tādējādi izsakot likuma nosaukumu kā Nacionālās kiberdrošības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Paragrāfā "1.1.1.6. pasākuma amati un lomas tiek plānoti, balstoties uz plānotās ekosistēmas elementu aprakstiem no GEANT vadlīnijām[23],  EOSC federācijas noteikumiem[24], CERT.LV (Kiberincidentu novēršanas institūcijas) rekomendācijām un Vienotā valsts interneta plūsmu apmaiņas punkta (GLV IX) prasībām[25]  par monitoringu" svītrot teikuma daļu, sākot ar "Vienotā valsts interneta plūsmu apmaiņas punkta (GLV IX) prasībām[25][ par monitoringu, jo GLV- IX nav monitoringa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15.lpp trešajā rindkopā norādīto pasākuma ietvaros plānotā kopējā attiecināmā finansējuma sadalījumu pa finansējuma avotiem ar noteikumu projekta 10.punktā norādīto sadalījumu pa finansējuma avotiem (novirze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summa atbilstoši summai noteikumu projektā (no – 3 262 500 uz – 3 262 501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šādā redakcijā: “Nepieciešamais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apakšsadaļa “Cita informācija” papildināta ar iebildumā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budžets tiek plānots veselos skaitļos, lūdzam korekti aizpildīta anotācijas 3.sadaļu, tās 6.punktā norādīto finansējumu sadalījumā pa gadiem un finansējuma avotiem norādot veselos skaitļos, bez cipariem aiz komata. Tāpat lūdzam svītrot šīs sadaļas 4.punktā norādītās finansiālās vērtības, norādot tās sadaļas 5.punktā un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budžets norādīts veselos skaitļos.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svītrotas norādītās finansiālās vērtības šīs sadaļas 4. punktā, un attiecīgi tās pievienotas 5. punktā un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2025.gads, lūdzam anotācijas 3.sadaļā kā kārtējo gadu noteikt 2025.gadu, nevis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kārtējais gads noteikts 2025. gads un attiecīgi precizēts budžets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pētnieki publiskā un privātā sektorā, pētniecības organizācijas, augstskolas, valsts tiešās pārvaldes iestādes, kas iesaistītas augstākās izglītības un pētniecības digitālo pakalpojumu izstrādē, ieviešanā un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norādītos šī pasākuma īstenošanas nozīmības aspektus (potenciālo izmaksu samazinājumu uzņēmumiem, pētniecības rezultātu komercializācijas sekmēšana u.c.), aicinām noteikumu projekta 4. punktā un 43.punktā pasākuma mērķa grupā iekļaut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43.punkta redakcija ir pretrunā ar anotācijā (17.lpp) sniegto informāciju, ka EOSC varēs lietot arī citi lietotāji un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mērķa grupā ir iekļauti pētnieki arī no privātā sektora. Uzņēmumi kuri atbilst pētniecības organizācijas statusam, varēs saņemt vienlīdzīgu piekļuvi EOSC mezgla pakalpojumiem un resursiem atbilstoši lietotāju grupai kurā tie būs klasificēti.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publiskajai EOSC mezgla daļai bez diskriminācijas tiks nodrošināta visām ieinteresētajām personām (netiešajai mērķa grupai t.sk. uzņēmējiem).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Atvērtās zinātnes un EOSC iniciatīvu ieviešana nodrošinās, ka visas ieinteresētās puses bez diskriminācijas iegūs pieeju atvērtās piekļuves publikācijām, kvalitatīvi pārvaldītiem un mašīnlasāmiem datiem, kas ietekmēs industriju, nodrošinot ciešāku pētnieku un tirgus sasaisti.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papildus informāciju par netiešo mērķa grupu un tās iespējām piedalīties un gūt labumu no EOSC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izsakot noteikumu projekta 4. punktu šādā redakcijā "4. Pasākuma mērķa grupa ir pētnieki publiskā un privātā sektorā, pētniecības organizācijas, augstskolas un valsts tiešās pārvaldes iestādes, kas iesaistītas augstākās izglītības un pētniecības digitālo pakalpojumu izstrādē, ieviešanā un sniegšanā" un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pētnieki publiskā un privātā sektorā, pētniecības organizācijas, augstskolas un valsts tiešās pārvaldes iestādes, kas iesaistītas augstākās izglītības un pētniecības digitālo pakalpojumu izstrādē, ieviešanā un 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sasniedzams šāds iznākuma rādītājs: pētniecības un inovācijas aprīkojuma nominālā vērtība – 2 700 000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31.punktā noteikto projekta īstenošanas termiņu, ņemot vērā pasākumā plānotā iznākuma rādītāja sasniegšanas termiņu, tos savstarpēji salāgojot. Šobrīd noteikumu projekts paredz, ka projektu īsteno līdz 2029.gada 30.novembrim, bet kā iznākuma rādītāja sasniegšanas termiņš noteikts 2029.gada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Saskaņoti projekta īstenošanas un iznākuma rādītāju sasniegšanas termiņi. Noteikumu projekta 6. un 7. punktā  aizstāt termiņu "31. decembrim" ar termiņu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labojumi veikti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30. novembrim ir sasniedzams šāds iznākuma rādītājs: pētniecības un inovācijas aprīkojuma nominālā vērtība – 2 700 000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Pasākumā ir sasniedzami šādi nacionālie rādītāji: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samazināt nacionālo rādītāju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samazināti nacionālie rādītāji, ir izņemts nacionālais rādītajs "Zinātnisko institūciju piesaistītais programmas “Apvārsnis Eiropa” finansējums līdz programmas “Apvārsnis Eiropa” noslēgumam – 150 000 000 euro līdz 2027. gada 31. decembrim".  Pārējos rādītājus nav iespējams samazināt, jo tie nodrošina  mērījumus par investīcijas pasākuma nacionālo aptveri.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Pasākumā ir sasniedzami šādi nacionālie rādītāji: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Zinātnisko institūciju piesaistītais programmas “Apvārsnis Eiropa” finansējums līdz programmas “Apvārsnis Eiropa” noslēgumam – 150 000 000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termiņš ir līdz 2029. gada beigām un anotācijā norādīts, ka atvērtās zinātnes prakses ir priekšnosacījums dalībai programmā "Apvārsnis Eiropa", lūdzam skaidrot, kā vienlaikus, līdz 2029. gada beigām, iecerēta arī nacionālā rādītāja sasniegšana.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precizējumi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zinātnē aizvien plašāk tiek ieviestas atvērtās zinātnes prakses, tostarp tādas kā pētniecības datu publicēšana un atkārtota pielietošana, kas ir kā priekšnosacījums dalībai Eiropas Savienības (turpmāk – ES) pētniecības un inovāciju pamatprogrammā "Apvārsnis Eiropa" (turpmāk – Apvārsnis Eiropa) un arī nākamajā ES pētniecības 10. Ietvarprogrammā."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nav sasniedzams konkrētas 1.1.1.6.pasākuma  investīciju līmenī, bet gan kopā ar citām investīcijām sniedz kopīgu ieguldījumu rādītāja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EOSC nacionālā mezgla lietotāju (institūciju)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lietotāji šī noteikumu projekta punkta izpratnē ir institūcijas. Lūdzam skaidrot, kā EOSC līmenī tiks noteikti lietotāji - vai autentificēšanās sistēmā paredzēta caur organizācijas kontu, vai konkrētas fiziskas personas konta, un  kā šo rādītāju varēs attiecīgi uzskaitīt vai iegūt, un, ja nepieciešams precizēt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(36.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mezgla lietotājs būs institūcija ar noslēgtu  līgumu par EOSC mezgla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pamatu autentificēšanās platformas politikas izveidošanā tiks izmantota  GEANT uzticības un identitātes stratēģija 2025-2027 (https://zenodo.org/records/10977308)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lietotāju piekļuves politika EOSC nacionālajam mezglam un tā pakalpojumiem tiks izstrādāta projekta īstenošanas fāzē. Lai nodrošinātu drošu pētniecības digitālo infrastruktūru un pakalpojumus, tiešajai mērķa grupai būs nepieciešams autorizēties EOSC nacionālajā mezglā izmantojot eduGAIN digitālās identitātes nodrošināšanas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lietotāju grupas varēs izmantot tādus piekļuves un autorizācijas veidus, kādus par drošiem un atbilstošiem noteiks EOSC nacionāla mezgla izstrādātā lietotāju piekļuves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EOSC nacionālā mezgla lietotāju piekļuves politiku tiks ņemts vērā EOSC EU mezgla lietotāju piekļuves politikā noteiktais (https://open-science-cloud.ec.europa.eu/system/files?file=2024-10/EOSC-EU-Node-User-Access-Policy-v1.0.pdf), lai nodrošinātu savstarpējo papildinātību un integrāciju pakalpojumu saņemšanai un resursu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izveidots viens EOSC nacionālā mezgla drošs nacionālais pētniecības un akadēmisko datu pārraides tīkls (turpmāk – tīkls) līdz 2026. gada 1.aprīlim;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1.janvāra palielināt pasākumam pieejamo kopējo finansējumu līdz šo noteikumu 10. punktā minētajam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tiesību normas interpretācijai konkretizēt noteikumu projekta 13.punktu, tas ir, pēc skaitļiem un vārdiem "10.punktā minētajam" papildināt ar vārdu "kopējam".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1.janvāra palielināt pasākumam pieejamo kopējo finansējumu līdz šo noteikumu 10. punktā minētajam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izveikts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iestāde pēc Eiropas Komisijas lēmuma par vidusposma pārskatu var ierosināt no 2026. gada 1. janvāra palielināt pasākumam pieejamo kopējo finansējumu līdz šo noteikumu 10. punktā minētajam plānotajam kopējam finansējuma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biedrība, kura pilda pārvaldes uzdevumu izveidot un uzturēt augstākās izglītības un pētniecības digitālos pakalpojumus (turpmāk – Biedrība),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1.1.1.6. pasākumu plānots īstenot ierobežotas atlases veidā un sadarbības iestādei ir jāuzaicina projekta iesniedzēju iesniegt projektu, lūdzam norādīt arī biedrības nosaukumu - konkrētu subjektu, kas būs aicināms kā iesniedzējs ierobežotā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biedrība “Augstākās izglītības un zinātnes informācijas tehnoloģijas koplietošanas pakalpojumu centrs", kura pilda pārvaldes uzdevumu izveidot un uzturēt augstākās izglītības un pētniecības digitālos pakalpojumus. Projekta iesniedzējs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īsteno projektu sadarbībā ar zinātnes universitātēm: Latvijas Biozinātņu un tehnoloģiju universitāti, Latvijas Universitāti, Rīgas Stradiņa universitāti un Rīgas Tehnisko universitāti. Projekta iesniedzējs sadarbības partnerus iesaista šo noteikumu 21. punktā minēto atbalstāmo darbību īstenošanā. Sadarbības partneriem ir jāatbilst pētniecības organizācijas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17.punktā terminu “projekta iesniedzējs” aizstājot to ar terminu “finansējuma saņēmējs”, jo atbilstoši Eiropas Savienības fondu 2021.—2027. gada plānošanas perioda vadības likuma (turpmāk - Likums) 1.panta 5) projekta iesniedzējs ir tiešās vai pastarpinātās pārvaldes iestāde, atvasināta publiska persona, cita valsts iestāde, fiziskā persona, kā arī juridiskā persona, kura iesniedz projekta iesniegumu, bet minētajā noteikumu projekta punktā iet runa par projekta īstenošanu, proti, posmu pēc projekta līguma noslēgšanas, nevis par projekta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17.punkta redakcija, aizstājot terminu “projekta iesniedzējs” ar terminu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īsteno projektu sadarbībā ar zinātnes universitātēm: Latvijas Biozinātņu un tehnoloģiju universitāti, Latvijas Universitāti, Rīgas Stradiņa universitāti un Rīgas Tehnisko universitāti. Finansējuma saņēmējs sadarbības partnerus iesaista šo noteikumu 21. punktā minēto atbalstāmo darbību īstenošanā. Sadarbības partneriem ir jāatbilst pētniecības organizācijas statusam.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projektu īsteno sadarbībā ar zinātnes universitātēm: Latvijas Biozinātņu un tehnoloģiju universitāti, Latvijas Universitāti, Rīgas Stradiņa universitāti un Rīgas Tehnisko universitāti. Finansējuma saņēmējs sadarbības partnerus iesaista šo noteikumu 21. punktā minēto atbalstāmo darbību īstenošanā. Sadarbības partneriem ir jāatbilst pētniecības organizācijas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noteikumu projekta 17. un 20.punkta redakcijas, jo abu punktu redakcijās tiek paredzēts, ka finansējuma saņēmējs projektu īsteno sadarbībā ar pētniecības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 17.punktā minētajiem sadarbības partneriem tiks slēgti sadarbības līgumi jau projekta pieteikuma sagatavošanas laikā, savukārt 20.punktā ir norādīts, ka finansējuma saņēmējs projekta īstenošanas darbības var veikt arī citās  pētniecības organizācijās, lai sasniegtu pasākuma mērķi un nodrošinātu 7.2. un 7.6 punktā noteiktā nacionāla rādītāja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īsteno projektu sadarbībā ar zinātnes universitātēm: Latvijas Biozinātņu un tehnoloģiju universitāti, Latvijas Universitāti, Rīgas Stradiņa universitāti un Rīgas Tehnisko universitāti. Finansējuma saņēmējs sadarbības partnerus iesaista šo noteikumu 21. punktā minēto atbalstāmo darbību īstenošanā. Sadarbības partneriem ir jāatbilst pētniecības organizācijas statusam.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projektu īsteno sadarbībā ar zinātnes universitātēm: Latvijas Biozinātņu un tehnoloģiju universitāti, Latvijas Universitāti, Rīgas Stradiņa universitāti un Rīgas Tehnisko universitāti. Finansējuma saņēmējs sadarbības partnerus iesaista šo noteikumu 21. punktā minēto atbalstāmo darbību īstenošanā. Sadarbības partneriem ir jāatbilst pētniecības organizācijas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norādīts, ka sadarbības partneriem ir jāatbilst pētniecības organizācijas statusam. Aicinām minētā nosacījuma atbilstību izvērtēt noteikumu projekta 17.punktā jau noteiktajiem sadarbības partneriem pirms to iekļaušanas noteikumos un nepieciešamības gadījumā nosacījumu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vērtēšana pētniecības organizācijas statusam ir iekļauta arī projekta vērtēšanas kritērijos, kā arī pasākums ir ar saimniecisko darbību nesaistīts projekts, tādēļ šāds kritērijs ir 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īsteno projektu sadarbībā ar zinātnes universitātēm: Latvijas Biozinātņu un tehnoloģiju universitāti, Latvijas Universitāti, Rīgas Stradiņa universitāti un Rīgas Tehnisko universitāti. Finansējuma saņēmējs sadarbības partnerus iesaista šo noteikumu 21. punktā minēto atbalstāmo darbību īstenošanā. Sadarbības partneriem ir jāatbilst pētniecības organizācijas statusam.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sasniegtu pasākuma mērķi un nodrošinātu 7.2. apakšpunktā noteiktā nacionāla rādītāja izpildi, bez šo noteikumu 17. punktā projektā minētajiem sadarbības partneriem finansējuma saņēmējs projekta īstenošanas darbības var veikt arī citās  pētniecības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skaidrojumu, ka pētniecības organizācijās finansējuma saņēmējs veiks tādas atbalstāmās darbības, lai nodrošinātu pētniecības organizācijas risinājumu savienošanu ar EOSC nacionālo mezglu, aicinām skaidrot, vai un kādi ieguldījumi tiks veikti šo organizāciju esošajos risinājumos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esošajos pētniecības organizāciju risinājumos netiek plānoti. Plānots veidot jaunus EOSC nacionālā mezgla prasībām atbilstošus risinājumus un tiek paredzēts, ka pētniecības organizācijas esošos risinājumus varēs savienot ar EOSC nacionālo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sasniegtu pasākuma mērķi un nodrošinātu 7.2. un 7.6. apakšpunktā noteiktā nacionāla rādītāja izpildi, bez šo noteikumu 17. punktā projektā minētajiem sadarbības partneriem projekta iesniedzējs projekta īstenošanas darbības var veikt arī citās  pētniecības organizācijās.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sasniegtu pasākuma mērķi un nodrošinātu 7.2. apakšpunktā noteiktā nacionāla rādītāja izpildi, bez šo noteikumu 17. punktā projektā minētajiem sadarbības partneriem projekta iesniedzējs projekta īstenošanas darbības var veikt arī citās augstskolās vai pētniecības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20.punktā arī paredzēts, “lai sasniegtu pasākuma mērķi un nodrošinātu 7.2.apakšpunktā noteikto nacionālā rādītāja izpildi, projekta iesniedzējs projekta īstenošanas darbības var veikt arī citās augstskolās vai pētniecības organizācijās”. Ņemot vērā 17.punktā noteikto, lūgums sniegt skaidrojumu, kādas darbības ir plānotas veikt citās augstskolās vai pētniecības organizācijās. Papildus lūdzam skaidrot, vai ir vērtēti  visi iesaistes aspekti par citām augstskolām vai pētniecības organizācijām, ņemot vērā, ka noteikumu projekta 5.punktā ir atrunāts par finansējuma saņēmēju un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sasniegtu pasākuma mērķi un nodrošinātu 7.2. un 7.6. apakšpunktā noteiktā nacionāla rādītāja izpildi, bez šo noteikumu 17. punktā projektā minētajiem sadarbības partneriem projekta iesniedzējs projekta īstenošanas darbības var veikt arī citās  pētniecības organizācijās.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atbalstāmas šādas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atbalstāmo darbību uzskaitījumu noteikumu 21., 22. un 23.punktā, nodrošinot darbību nedublēšanos un nepārprotamu sasaisti ar projektā sasniedzamajiem rādītājiem. Piemēram, 21.6.apakšpunktā norādītās aktivitātes un to pārklāšanos ar 21.3.apakšpunktu, 21.7.apakšpunkta darbību pārklāšanos ar 23.punktā norādīto, iespēju robežās tās apvienojot, lai mazinātu interpretācijas iespējas projekta īstenošanas laikā. Lūdzam precizēto informāciju salāgot ar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dzēsts un sākotnēji punktā iekļautā informācija pārskatīta un   pārvietota uz noteikumu projekta 21.6., 21.7. un 22.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noteikuma projektā minēto atbalstāmo darbību sasaistei 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punkts saistīts ar pasākuma sasniedzamo rādītāju noteikumu projekta 7.1, 7.2, 7.4. un 7.6.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punkts saistīts ar pasākuma sasniedzamo rādītāju noteikumu projekta 7.1. un 7.2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punkts saistīts ar pasākuma sasniedzamo rādītāju noteikumu projekta 7.3.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punkts saistīts ar pasākuma sasniedzamo rādītāju noteikumu projekta 7.4.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punkts saistīts ar pasākuma sasniedzamo rādītāju noteikumu projekta 7.5.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punkts saistīts ar mērķa grupas iesaisti un pasākuma sasniedzamo rādītāju noteikumu projekta 7.2. un 7.6.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punkts nodrošinās kompetenču pilnveidi EOSC nacionālā mezgla infrastruktūras un pakalpojumu izmantošanas veicināšanai, kas ļaus uzlabot pētniecības kvalitāti un sasniegt noteikumu projekta 7.2. un 7.6. apakšpunkta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atbalstāmas šādas darbības: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atbalstāmas šādas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projekts būtu vieglāk uztverams, aicinām pārskatīt noteikumu projekta 21.punktā norādītos apakšpunktus, norādot pie šī punkta tikai atbalstāmās darbības, bet 25.punktā norādot tiešās attiecināmās izmaksas, kas nodrošinās 21.punktā minēto darbību sasniegšanu. Papildus aicinām sastrukturēt atbalstāmās darbības projektā, kā arī pārskatīt, vai nedublējas informācija norādītajos apakšpunktos,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21.4.apakšpunktā ir paredzēts “…datu drošās apstrādes vide…” un 21.5.apakšpunktā “Drošas virtuālas vides darbam ar datiem un rīkiem datu apstrādei un analīzei izstrāde, ieviešana un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pirmšķietami pēc satura 21.6.apakšpunkts dublējas ar 21.4.apakšpunktā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precizēt (ja attiecināms)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21.1.-21.6.apakšpunkti paredz izstrādi, ieviešanu un nodrošināšanu. Lūgums skaidrot, vai ar "nodrošināšanu" ir domāta uzturēšana. Ja ir domāta uzturēšana, lūgums papildināt minētos punktus ar “nodrošināšana projekta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un apakšpunkti, 22.punkts un 25.9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minētas noteikumu projekta 22. punktā, pārnestas uz 25.9 punktu pie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21.1-21.6. apakšpunkti papildināti ar vārdiem “nodrošināšana projekta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atbalstāmas šādas darbības: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21.6., 21.7 apakšpunktos minēto sistēmu un pakalpojumu ieviešana ietver arī pakalpojumu izstrādāšanu, pārbūvi,  adaptāciju, konfigurēšanu  un testēšanu; sistēmu integrāciju (tajā skaitā savienošanu ar sistēmām citās institūcijās un valstīs), uzturēšanu un nodrošināšanu projekta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22. un 23.punkta redakcijas, jo saturiski tie pārklājas.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23.punkts dzēsts un sākotnēji punktā iekļautā informācija pārskatīta un daļēji  pārvietota uz noteikumu projekta 21.6., 21.7. un 22.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apakšpunktos minēto sistēmu un pakalpojumu ieviešana ietver arī pakalpojumu izstrādāšanu, pārbūvi, adaptāciju, konfigurēšanu un testēšanu; sistēmu integrāciju (tajā skaitā savienošanu ar sistēmām citās institūcijās un valstīs), uzturēšanu un nodrošināšanu projekta laikā. Kā arī minēto sistēmu un pakalpojumu prasību un biznesa procesu analīzi un izstrādi; esošās situācijas analīzi un auditus; labāko prakšu analīzi; tehnoloģisko standartu, datu standartu un struktūru, procedūru un nosacījumu, pārvaldības pakalpojumu atlasi, izstrādi, pielāgošanu un ieviešanu projekta laikā; tīkla un pakalpojumu tehnisko projektēšanu, sistēmu arhitektūras un integrāciju  izveidi; dokumentācijas sagatavošanu; jaunu funkciju un pakalpojumu izveidi; piekļūstamības nodrošināšanu saskaņā ar nacionālajiem un starptautiskajiem standartiem; datu sagatavošanu, pārnešanu un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21.6., 21.7 apakšpunktos minēto sistēmu un pakalpojumu ieviešana ietver arī pakalpojumu izstrādāšanu, pārbūvi,  adaptāciju, konfigurēšanu  un testēšanu; sistēmu integrāciju (tajā skaitā savienošanu ar sistēmām citās institūcijās un valstīs), uzturēšanu un nodrošināšanu projekta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noteikumu projekta 22. un 23.punktā būtu norādāma atsauce uz 21.7.apakšpunktu, nepieciešamības gadījumā to dzēšot.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21.7. apakšpunktu noteikumu projekta 22.punktā.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apakšpunktos minēto sistēmu un pakalpojumu ieviešana ietver arī pakalpojumu izstrādāšanu, pārbūvi, adaptāciju, konfigurēšanu un testēšanu; sistēmu integrāciju (tajā skaitā savienošanu ar sistēmām citās institūcijās un valstīs), uzturēšanu un nodrošināšanu projekta laikā. Kā arī minēto sistēmu un pakalpojumu prasību un biznesa procesu analīzi un izstrādi; esošās situācijas analīzi un auditus; labāko prakšu analīzi; tehnoloģisko standartu, datu standartu un struktūru, procedūru un nosacījumu, pārvaldības pakalpojumu atlasi, izstrādi, pielāgošanu un ieviešanu projekta laikā; tīkla un pakalpojumu tehnisko projektēšanu, sistēmu arhitektūras un integrāciju  izveidi; dokumentācijas sagatavošanu; jaunu funkciju un pakalpojumu izveidi; piekļūstamības nodrošināšanu saskaņā ar nacionālajiem un starptautiskajiem standartiem; datu sagatavošanu, pārnešanu un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21.6., 21.7 apakšpunktos minēto sistēmu un pakalpojumu ieviešana ietver arī ar to izveidi un ieviešanu saistītā tehniskā aprīkojuma, programmatūras un citu licenču, un pakalpojumu (tajā skaitā mākoņpakalpojumu) iegādi vai nomu; pakalpojumu izstrādāšanu, pārbūvi, pielāgošanu, konfigurēšanu,  adaptāciju un testēšanu; sistēmu integrāciju (tajā skaitā savienošanu ar sistēmām citās institūcijās un valstīs), uzturēšanu un nodrošināšanu. Šajā punktā minētā licenču noma un pakalpojumu nodrošināšana atbalstāma projekta norises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iekļaut nosacījumu, ka noma attiecināma tad, ja pamatots, ka tā ir saimnieciski izdevīgāka nekā iegāde un kā tiks nodrošināta ilgtspēja, beidzoties attiecīgajam nomas periodam - projekta īstenošanas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to, ka lai nodrošinātu pasākuma 1.1.1.6. ilgtspēju, beidzoties nomas periodam – projekta īstenošanas laikam, gan minētie nomas izdevumi, gan iegādes izdevumi tiks nodrošināti no zinātniskās darbības bāzes finansējuma. Noma ir attiecināma, ja pamatots, ka tā ir saimnieciski izdevīgākā nekā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21.2., 21.3., 21.4., 21.5.  apakšpunktos minēto sistēmu un pakalpojumu ieviešana ietver arī pakalpojumu izstrādāšanu, pārbūvi, adaptāciju, konfigurēšanu un testēšanu; sistēmu integrāciju (tajā skaitā savienošanu ar sistēmām citās institūcijās un valstīs), uzturēšanu un nodrošināšanu projekta laikā. Kā arī minēto sistēmu un pakalpojumu prasību un biznesa procesu analīzi un izstrādi; esošās situācijas analīzi un auditus; labāko prakšu analīzi; tehnoloģisko standartu, datu standartu un struktūru, procedūru un nosacījumu, pārvaldības pakalpojumu atlasi, izstrādi, pielāgošanu un ieviešanu projekta laikā; tīkla un pakalpojumu tehnisko projektēšanu, sistēmu arhitektūras un integrāciju  izveidi; dokumentācijas sagatavošanu; jaunu funkciju un pakalpojumu izveidi; piekļūstamības nodrošināšanu saskaņā ar nacionālajiem un starptautiskajiem standartiem; datu sagatavošanu, pārnešanu un pārvaldību.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21.1, 21.2., 21.3., 21.4., 21.5., 21.6., 21.7. apakšpunktos minēto sistēmu un pakalpojumu ieviešana ietver arī ar to izveidi un ieviešanu saistīto prasību un biznesa procesu analīzi un izstrādi; esošās situācijas analīzi un auditus; labāko prakšu analīzi; tehnoloģisko standartu, datu standartu un struktūru, procedūru un nosacījumu, pārvaldības pakalpojumu atlasi, izstrādi, pielāgošanu un ieviešanu; pakalpojumu tehnisko projektēšanu, izstrādi, sistēmu arhitektūras un integrāciju  izveidi; dokumentācijas sagatavošanu; biznesa procesu maiņu saistībā ar digitalizāciju (iekšējās procedūras un funkcijas) un jaunu funkciju un pakalpojumu izveidi; datu sagatavošanu, digitalizāciju, pārnešanu un pārvaldību; pētniecības organizāciju sadarbības procedūru izveidi digitalizēto pakalpojumu sniegšanai; pakalpojumu koplietošanas un sadarbības organizatorisko struktūru, sadarbības procedūru un nosacījumu izstrādi un ieviešanu EOSC nacionālajā mezglā un pētniecības organizācijās; reģistrēšanas un dalības maksu (projekta īstenošanas laikā) starptautiskajās organizācijās un tīklos, zinātniskā personāla, pētniecības organizāciju administratīvā personāla, sistēmu lietotāju un apkalpojošā personāla mācības un informēšanu par darbu ar EOSC nacionālā mezgla pakalpojumiem, ieskaitot pasākumus un materiālu sagatavošanu, reģistrēšanu vai dalību starptautiskajās organizācijās un tīklos, lai nodrošinātu starptautisku sadarbību un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 Konvencijas par personu ar invaliditāti tiesībām 9.panta 2.punktā noteiktajam, dalībvalstis veic atbilstošus pasākumus, lai veicinātu jauno informācijas un komunikācijas tehnoloģiju un sistēmu, tostarp tīmekļa, piekļūstamību personām ar invaliditāti. Aicinām rast iespēju papildināt 23.punktu ar atbalstāmajām darbībām, kas veicinās digitālās infrastruktūras piekļūstamību personām ar funkcionālajiem traucējumiem, piemēram: </w:t>
            </w:r>
            <w:r w:rsidR="00000000" w:rsidRPr="00000000" w:rsidDel="00000000">
              <w:rPr>
                <w:u w:val="single"/>
                <w:rtl w:val="0"/>
              </w:rPr>
              <w:t xml:space="preserve">sistēmas un pakalpojumu pielāgošana cilvēkiem ar funkcionālajiem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papildināts ar vārdiem "darbības platformas  piekļūstamības nodrošināšanai saskaņā ar nacionālajiem un starptautiskajiem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informācija anotācijā, tai skaitā anotācijas 8.1.9. apakšpunkts papildināts ar piemēru: nodrošināt EOSC LV mezgla piekļūstamību līdzīgi EOSC ES mezgla platformai (detalizēta informācija angļu valodā pieejama https://open-science-cloud.ec.europa.eu/accessibility-statement), kā arī ņemot vērā WCAG vadlīniju 2.1 versijas AA līmeņa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23.1. punktā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projekta iterācijā noteikumu projekts papildināts ar jaunu 24.11. apakšpunktu - “</w:t>
            </w:r>
            <w:r w:rsidR="00000000" w:rsidRPr="00000000" w:rsidDel="00000000">
              <w:rPr>
                <w:i w:val="1"/>
                <w:rtl w:val="0"/>
              </w:rPr>
              <w:t xml:space="preserve">24.11. tīkla iekārtu, aprīkojuma un aparatūras uzstādīšanai nepieciešamās telpu pielāgošanas, atjaunošanas un pārbūves izmaksas finansējuma saņēmējam šo noteikumu 21.2. punktā minēto atbalstāmo darbību īstenošana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mērķi un projekta ietvaros atbalstāmās darbības, aicinām noteikumu projekta anotācijā skaidrot, kādā apjomā projektā plānotas telpu pielāgošanas, atjaunošanas un pārbūves izmaksas, kā arī skaidrot to tiešu sasaisti ar projektā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papildinājumu, ka minētās izmaksas var tikt attiecinātas, ja citādi nav iespējams uzstādīt tīkla iekārtas, aprīkojumu un aparatūru, lai nodrošinātu EOSC nacionālā mezgla tīkla lietotāju pieslēgšanu nacionālā rādītāja 7.2. sasniegšanai, atbilstoši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atbalstāmā darbība "2. EOSC nacionālā mezgla tīkla risinājuma izstrāde, ieviešana un nodrošināšana projekta norises laikā. Atbalstāmā darbība ietver tīkla risinājuma iekārtu, aprīkojuma un aparatūras uzstādīšanai nepieciešamo telpu pielāgošanu, atjaunošanu un pārbūvi, ja tāda ir nepieciešama finansējuma saņēmējam, lai tīklam pieslēgtu EOSC nacionālā mezgla tīkla lietotāju nacionālā rādītāja 7.2.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izmaksas "tīkla iekārtu, aprīkojuma un aparatūras uzstādīšanai nepieciešamās telpu pielāgošanas, atjaunošanas un pārbūves izmaksas finansējuma saņēmējam. Šajā punktā minētās izmaksas ir atbalstāmas EOSC nacionālā mezgla tīkla risinājuma izstrādē, ieviešanā un nodrošināšanā projekta norises laikā, ja tās ir nepieciešamas un pamatotas, lai finansējuma saņēmējs pieslēgtu EOSC nacionālā mezgla tīkla lietotāju nacionālā rādītāja 7.2. sasniegšanai. Šo izmaksu attiecināšanai finansējuma saņēmējam ir jāsniedz pamatojums, ka bez tīkla iekārtu, aprīkojuma un aparatūras uzstādīšanai nepieciešamās telpu pielāgošanas, atjaunošanas un pārbūves nav iespējams uzstādīt un uzturēt EOSC nacionālā mezgla tīkla risinājuma tīkla iekārtas, aprīkojumu un aparatūru atbilstoši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23.1. punktā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 pilda valsts deleģētu funkciju, lūdzam precizēt noteikumu projekta 25.1.1. un 25.1.2.apakšpunktus, nosakot, ka atlīdzības izmaksas ir attiecināmas atbilstoši Valsts un pašvaldību institūciju amatpersonu un darbinieku atlīdzības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atbilstoši Valsts un pašvaldību institūciju amatpersonu un darbinieku atlīdzības likuma nosacījumiem, izņemot virsstundas, šo noteikumu 21.9. un 21.10. apakšpunktā minēto atbalstāmo darbību īstenošanai, kas ir attiecināmas kā faktiskās izmaksas,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kalendārajā gadā.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projekta īstenošanas personāla, tai skaitā ekspertu, speciālistu, konsultantu, tostarp ārvalstu, atlīdzības izmaksas atbilstoši Valsts un pašvaldību institūciju amatpersonu un darbinieku atlīdzības likuma nosacījumiem, izņemot virsstundas, šo noteikumu 21.1., 21.2., 21.3., 21.4., 21.5., 21.6., 21.7., 21.8. un 21.9. punktā minēto darbību īstenošanai, kas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jau paredz, ka atlīdzības izmaksas ir attiecināmas atbilstoši Valsts un pašvaldību institūciju amatpersonu un darbinieku atlīdzības likuma nosacījumiem, līdz ar to papildināts arī noteikumu projekta 25.1.1.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ka 1.1.1.6. pasākumam atbilstoši jomai – “Informācijas tehnoloģijas”, tiks piemēroti dažādi tirgus koeficienti katra amata specifiskās jomas piemērojamā tirgus koeficienta robežās saskaņā ar Ministru kabineta 2022. gada 21. jūnija noteikumiem Nr. 361 "Noteikumi par valsts institūciju amatpersonu un darbinieku darba samaksu un tās noteikšanas kārtību, kā arī par profesijām un specifiskajām jomām, kurām piemērojams tirgus koeficients" 5.  pielikumu “Profesijas un specifiskās jomas, kurām piemērojams tirgus koeficients, un piemērojamā tirgus koeficienta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salāgots ar priekšlikumu 30. un 31.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projekta vadības personāla izmaksas atbilstoši Valsts un pašvaldību institūciju amatpersonu un darbinieku atlīdzības likuma nosacījumiem, izņemot virsstundas, šo noteikumu 21.8. un 21.9. apakšpunktā minēto atbalstāmo darbību īstenošanai, kas ir attiecināmas kā faktiskās izmaksas, paredzot maksimālo ierobežojumu ERAF finansējuma daļai tiešajām projekta vadības personāla izmaksām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 1.2. ''Vadlīnijas attiecināmo izmaksu noteikšanai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7.29. apakšpunktam tiek noteikts maksimālais ierobežojums tiešajām projekta vadības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precizēt atsauci uz ierobežojumu projekta vadības personālu izmaksām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ar tiešajām attiecināmajām izmaksām virs 5 milj. EUR projekta vadības personāla izmaksu ES fondu daļas ierobežojums tiek noteikts kā fiksēta summa līdz 84 787 EUR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25.1.1. punkts, papildinot ar to, ka tas ir ES fondu daļas ierobežojums. Attiecīgi precizēta arī anotācija. Vienlaikus netiek iekļauta piebilde “projektiem ar tiešajām attiecināmajām izmaksām virs 5 milj. EUR”, ņemot vērā, ka 1.1.1.6. pasākuma ietvaros plānots tikai viens projekts noteikumu projekta 10. un 11. punktā minētajā apmērā, kas faktiski ir virs 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salāgots ar priekšlikumu 29. un 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projekta vadības personāla izmaksas atbilstoši Valsts un pašvaldību institūciju amatpersonu un darbinieku atlīdzības likuma nosacījumiem, izņemot virsstundas, šo noteikumu 21.8. un 21.9. apakšpunktā minēto atbalstāmo darbību īstenošanai, kas ir attiecināmas kā faktiskās izmaksas, paredzot maksimālo ierobežojumu ERAF finansējuma daļai tiešajām projekta vadības personāla izmaksām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projekta vadības personāla atlīdzības izmaksas, izņemot virsstundas, šo noteikumu 21.9. un 21.10. apakšpunktā minēto atbalstāmo darbību īstenošanai, kas ir attiecināmas kā faktiskās izmaksas, paredzot projekta vadības personāla izmaksu ierobežojumu līdz 84 787 euro kalendārajā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MK noteikumu tekstā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25.1.1. un 25.1.2. punkti un anotācija. (Priekšlikums salāgots ar priekšlikumu 29. un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projekta vadības personāla izmaksas atbilstoši Valsts un pašvaldību institūciju amatpersonu un darbinieku atlīdzības likuma nosacījumiem, izņemot virsstundas, šo noteikumu 21.8. un 21.9. apakšpunktā minēto atbalstāmo darbību īstenošanai, kas ir attiecināmas kā faktiskās izmaksas, paredzot maksimālo ierobežojumu ERAF finansējuma daļai tiešajām projekta vadības personāla izmaksām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komandējumu un darba braucienu izmaksas finansējuma saņēmējam un sadarbības partneriem šo noteikumu 21. punktā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skaidrot, kuras atbalstāmās darbības nodrošināšanai paredzētas 25.3. un 25.5. apakšpunktā norādītās izmaksas. No piedāvātās redakcijas izriet, ka finansējuma saņēmējam un sadarbības partneriem būs attiecināmas izmaksas par darbībām, kuras pēc to rakstura veiks projekta īstenošanas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24.3 un 24.5. punktos ir atsauce uz visām 21.punktā minētajām atbalstāmajām darbībām, jo projekta īstenošana notiks visā Latvijas teritorijā un projekta īstenošana iekļauj arī fiziskas aprīkojuma pārvietošanas darbības, kas nozīmē, ka iekšzemes komandējumu izmaksas, transporta izmaksas un transporta pakalpojumu izmaksas būs iespējamas visām 21.punktā noteiktajām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nav attiecināmas izmaksas, labojumi veikti visā noteikumu projektā kur tas bija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iekšzemes komandējumu un darba braucienu izmaksas finansējuma saņēmējam šo noteikumu 21. punktā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pakalpojumu un piegādes izmaksas finansējuma saņēmējam un sadarbības partneriem šo noteikumu 21.1., 21.2., 21.3., 21.4., 21.5., 21.6., 21.7. un 21.8.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projekta īstenošanas uzraudzībā, aicinām skaidrot, vai piegādes izmaksas ir attiecināmas uz noteikumu projekta 21.7.apakšpunktā minētās atbalstāmās darbības īstenošanu, ņemot vērā veiktos precizējumus atbalstāmās darbības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noteikumu projekta  21.7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pakalpojumu un piegādes izmaksas finansējuma saņēmējam šo noteikumu 21.1., 21.2., 21.3., 21.4., 21.5., 21.6. un 21.8. punktā minēto atbalstāmo darbību īstenošanai, tai skaitā projekta īstenošanas gaitā radušos materiālo vērtību apdrošināšanas izmaksas, ja tās attiecināmas uz projekta īstenošanas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pakalpojumu un piegādes izmaksas finansējuma saņēmējam šo noteikumu 21.1., 21.2., 21.3., 21.4., 21.5., 21.6. un 21.8. apakšpunktā minēto atbalstāmo darbību īstenošanai, tai skaitā projekta īstenošanas gaitā radušos materiālo vērtību apdrošināšanas izmaksas, ja tās attiecināmas uz projekta īstenošanas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pakalpojumu un piegādes izmaksas finansējuma saņēmējam un sadarbības partneriem šo noteikumu 21.1., 21.2., 21.3., 21.4., 21.5., 21.6., 21.7. un 21.8.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21.1.-21.8. apakšpunktos minētajām darbībām izmaksas attiecināmas gan kā pakalpojumi un piegādes, gan projekta īstenošanas personāla izmaksas (25.1.2. apakšpunkts), aicinām izvērtēt un 25.8. apakšpunktā, 39. punktā, 42. punktā vai anotācijā iekļaut piebildi, ka, lai novērstu dubulto finansējumu, t.sk. pakalpojumu un piegādes izmaksām, ir jābūt skaidri nodalāmām no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piebildi “Lai novērstu dubultā finansējuma risku, Finansējuma saņēmējs nodrošina, ka pakalpojumu un piegādes izmaksas ir skaidri nodalāmas no īstenošanas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pakalpojumu un piegādes izmaksas finansējuma saņēmējam šo noteikumu 21.1., 21.2., 21.3., 21.4., 21.5., 21.6. un 21.8. apakšpunktā minēto atbalstāmo darbību īstenošanai, tai skaitā projekta īstenošanas gaitā radušos materiālo vērtību apdrošināšanas izmaksas, ja tās attiecināmas uz projekta īstenošanas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ārvalstu ekspertu piesaistes izmaksas (t.sk. personāla atlases kompānijas pakalpojumi, vakanču publicēšanas izmaksas un ekspertu komandējuma izdevumu segšana) finansējuma saņēmējam šo noteikumu 21.1., 21.2., 21.3., 21.4., 21.5., 21.6. un 21.7.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pretrunas noteikumu projekta 25.10.apakšpunktā, kas nosaka ārvalstu ekspertu komandējuma izmaksas finansējuma saņēmējam, savukārt, noteikumu projekta 25.4.apakšpunkts paredz ārvalstu komandējumu izmaksas finansējuma saņēmēja un sadarbības partneru projekta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24.10 apakšpunktā dzēsti vārdi "un ekspertu komandējuma izdevumu segšana".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24.10 punkts izteikts jaunā redakcijā, kā arī laboti vairāki noteikuma projekta punkti (t.sk. 24.4) saistībā ar to ka Sadarbības partneriem projektā  netiek attiecināts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izziņas 16. un 20.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ārvalstu ekspertu piesaistes izmaksas (t.sk. personāla atlases kompānijas pakalpojumi, vakanču publicēšanas izmaksas,  pārcelšanās kompensācijas izmaksas saistībā ar darba pienākumu veikšanu Latvijā, transporta un izmitināšanas izmaksu segšana, ja ārvalstu eksperts projektā darbu veic bez atlīdzības) finansējuma saņēmējam šo noteikumu 21.1., 21.2., 21.3., 21.4., 21.5., 21.6. un 21.7.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nodoklis, kas tiešā veidā saistīts ar projektu, un ja tas nav atgūstams saskaņā ar valsts tiesību aktiem pievienotās vērtības nodokļa jomā,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MK noteikumu projekta 25.1.1. punktā noteikto ierobežojumu projekta vadības personāla izmaksām, secināms, ka projekta tiešās attiecināmās izmaksas būs virs 5 milj. euro, attiecīgi atbilstoši vadošās iestādes vadlīniju Nr. 1.2. "'Vadlīnijas attiecināmo izmaksu noteikšanai 2021.-2027.gada plānošanas periodā'' 7.29. apakšpunktā noteiktajam, lūdzam 27. punktu papildināt ar piebildi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nodoklis, kas tiešā veidā saistīts ar projektu, un ja tas nav atgūstams saskaņā ar valsts tiesību aktiem pievienotās vērtības nodokļa jomā, uzskatāms par attiecināmām izmaksām saskaņā ar Regulas Nr. 2021/1060 64. panta 1. punkta "c" apakšpunktā ietvertajiem nosacījumiem, </w:t>
            </w:r>
            <w:r w:rsidR="00000000" w:rsidRPr="00000000" w:rsidDel="00000000">
              <w:rPr>
                <w:u w:val="single"/>
                <w:rtl w:val="0"/>
              </w:rPr>
              <w:t xml:space="preserve">ja tas nav atgūstams atbilstoši normatīvajiem aktiem nodokļu politikas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precizēts, pārnesot piedāvāto piebildi no teikuma vidus uz teikuma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nodoklis, kas tiešā veidā saistīts ar projektu, uzskatāms par attiecināmām izmaksām saskaņā ar Regulas (ES) 2021/1060 64. panta 1. punkta "c" apakšpunktā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saņēmējam izmaksas ir attiecināmas, ja tās atbilst šajos noteikumos minētajām izmaksu pozīcijām un ir radušās no šo noteikumu apstiprināšanas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norādīto informāciju par izmaksu attiecināmības sākuma datumu ar noteikumu projekta 28. un 29. punktu, skaidri norādot, vai izmaksas ir attiecināmas no noteikumu apstiprināšanas dienas vai no spēkā stāšanās 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saskaņojot ar informāciju noteikumu projektā un norādot, ka izmaksas ir attiecināmas no noteikumu apstiprināšanas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pasākuma ietvaros finansējuma saņēmējam izmaksas ir attiecināmas no 1.1.1.6. pasākuma noteikumu apstiprināšanas dienas, ja tās atbilst noteikumos minētajām izmaksu pozīcijām. Projekta sadarbības partneriem izmaksas ir attiecināmas pēc sadarbības līgumu noslēgšanas, bet ne agrāk kā no dienas,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finansējuma saņēmējam izmaksas ir attiecināmas no šo noteikumu spēkā stāšanās dienas, ja tās atbilst šo noteikumu 21. punktā minētajām atbalstāmajām darbībām. Projekta iesniegumā neiekļauj un finansējumu nepiešķir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Saskaņā ar līgumu par projekta īstenošanu finansējuma saņēmējam ir paredzēts avanss, to var izmaksāt pa daļām. Viens avansa maksājums nepārsniedz 30 procentus no projektam piešķirtā  finansējuma un valsts budžeta līdzfinansējuma kopsummas. Avansa un starpposma maksājumu kopsumma var būt 95 procenti no projektam piešķirtā ERAF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30.punktu, ņemot vērā vadlīniju Nr.1.4. “Vadlīnijas Ministru kabineta noteikumu par specifiskā atbalsta mērķa īstenošanu izstrādei Eiropas Savienības fondu 2021.—2027. gada plānošanas periodā” un MK noteikumos Nr.205 "Valsts budžeta līdzekļu plānošanas kārtība Eiropas Savienības fondu projektu īstenošanai un maksājumu veikšanai 2021.–2027. gada plānošanas periodā "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līgumu par projekta īstenošanu finansējuma saņēmējam ir paredzēts avanss, to var izmaksāt pa daļām. Kopējais avansa maksājums nepārsniedz 30 procentus no projektam piešķirtā  finansējuma un valsts budžeta līdzfinansējuma kopsummas. Avansa un starpposma maksājumu kopsumma nepārsniedz 95 procenti no projektam piešķirtā ERAF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precizēts, aizstājot vārdu “viens” ar vārdu “kopējais”. Vienlaikus precizēts avansa apmērs no 95 uz 100, tāpēc saglabāta redakcija “var būt” saskaņā ar Ministru kabineta 2023. gada 25. aprīļa noteikumu Nr. 205 “Valsts budžeta līdzekļu plānošanas kārtība Eiropas Savienības fondu projektu īstenošanai un maksājumu veikšanai 2021.–2027. gada plānošanas periodā” 18. punktā noteikto un ņemot vērā, ka 100% nav iespējams pārsniegt.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izziņas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saņēmējam paredzēto avansu var izmaksāt pa daļām. Kopējais avansa maksājums nepārsniedz 30 procentus no projektam piešķirtā ERAF finansējuma un valsts budžeta līdzfinansējuma kopsummas. Avansa un starpposma maksājumu kopsumma var būt 100 procenti no projektam piešķirtā ERAF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ar IKT jomas projektu īstenošanu, aicinām izvērtēt, vai nepieciešams papildināt noteikumu projektu ar punktu, kurš nosaka, ka finansējuma saņēmējs un sadarbības partneris (ja attiecināms) tam pieejamā finansējuma ietvaros  nodrošina projekta rezultātu ilgtspēju, tai skaitā projekta ietvaros izveidoto un ieviesto informācijas un komunikācijas tehnoloģiju risinājumu darbību vismaz piecus gadus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noteikumu projekts būtu papildināms ar punktu, kurā tiktu noteikts, ka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noslēguma, EOSC nacionālā mezgla un tā pakalpojumu uzturēšanas izmaksas ik gadu ir paredzēts segt no Zinātnes bāzes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vērtēs nepieciešamo tiesisko regulējumu un izstrādās atbilstoši pamatotībai.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 gada plānošanas perioda vadības likuma 12. panta trešās daļas 13. punktam sadarbības iestāde, ņemot vērā projekta iesniedzēja juridisko formu un tiesisko statusu, slēdz ar finansējuma saņēmēju līgumu vai vienošanos par projekta īstenošanu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72. panta 1. punkta "a" apakšpunktā noteiktajam. Ņemot vērā noteikumu projekta 16. punktā noteiktā projekta iesniedzēja juridisko statusu, aicinām noteikumu projekta 32. punkta pēdējā teikumā aizstāt vārdu "vienošanās" ar vārdu "līguma". Minēto lūdzam precizēt arī anotācijā,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punktā aizstāts vārds "vienošanās" ar vārdu "līgums" atbilstoši Eiropas Savienības fondu 2021.—2027. gada plānošanas perioda vadības likuma 12. panta trešās daļas 13.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īstenošanas uzraudzībai finansējuma saņēmējs izveido projekta uzraudzības padomi, kuras sastāvā iekļauj Izglītības un zinātnes ministrijas, Latvijas Zinātnes padomes, Viedās administrācijas un reģionālās attīstības ministrijas,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kas ir saskaņots ar Izglītības un zinātnes ministriju. Pirmo projekta uzraudzības padomes sēdi sasauc ne vēlāk kā trīs mēnešus pēc līguma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vismaz vienu reizi sešos mēnešos projekta uzraudzības padomei iesniedz ziņojumu par projekta īstenošanas progresu, tai skaitā par īstenotajiem mērķa grupas informēšanas pasākumiem, šo noteikumu 7. un 8. punktā minēto rādītāju sasniegtajām vērtībām un prezentē projekta rezultātus projekta uzraudzības padomē. Finansējuma saņēmējs sagatavo un projekta uzraudzības padomei iesniedz ārējo ekspertu atzinumu par 7.2.–7.5. apakšpunktā minēto nacionālo rādītāju izpildi.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33.punktā atsauces uz punktiem par sasniegtajām rādītāju vērtībām (noteikumu projektā 6. un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noteikumu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vismaz vienu reizi sešos mēnešos projekta uzraudzības padomei iesniedz ziņojumu par projekta īstenošanas progresu, tai skaitā par īstenotajiem mērķa grupas informēšanas pasākumiem, šo noteikumu 6., 7. un 8. punktā minēto rādītāju sasniegtajām vērtībām un prezentē projekta rezultātus projekta uzraudzības padomē. Finansējuma saņēmējs sagatavo un projekta uzraudzības padomei iesniedz ārējo ekspertu atzinumu par šo noteikumu 7. punktā minēto nacionālo rādītāju izpildi.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Publiskos iepirkumus finansējuma saņēmējs un sadarbības partneri veic atklātā, pārredzamā, konkurenci nodrošinošā, ja vien tas ir iespējams, sociāli atbildīgā veidā un saskaņā ar normatīvajiem aktiem publisko iepirkumu jomā, ievērojot nediskriminācijas principus. Projekta ietvaros ir atbalstāma vides prasību un inovatīvu pakalpojumu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atsauci arī uz digitālās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prasības noteiktas nacionālajos standartos: LVS EN ISO 9241-210:2019 "Cilvēka un sistēmas mijiedarbības ergonomika. 210.daļa: Cilvēkorientēta interaktīvo sistēmu projektēšana (ISO 9241-210:2019)" un LVS EN 301549:2021 "IKT produktu un pakalpojumu pieejamības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finansējuma saņēmējs un sadarbības partneri veic atklātā, pārredzamā, konkurenci nodrošinošā, ja vien tas ir iespējams, sociāli atbildīgā veidā un saskaņā ar normatīvajiem aktiem publisko iepirkumu jomā, ievērojot nediskriminācijas principus. Projekta ietvaros ir atbalstāma vides prasību (t.sk. digitālās piekļūstamības prasību) un inovatīvu pakalpojumu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precizēts, ņemot vērā arī izziņas 39. un 40.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digitālās piekļūstamības prasības, visi pakalpojumi un sistēmas, kas tiks izstrādāti 1.1.1.6. pasākuma projekta ietvaros, atbildīs ES Tīmekļa pieejamības direktīvai (Direktīva (ES) 2016/2102) un attiecīgajiem Latvijas pieejamības regulējumiem, kā arī ievēros Tīmekļa satura pieejamības vadlīnijas (WCAG) 2.1, nodrošinot iekļaujošu piekļuvi visiem lietotājiem, kā arī tehniskās prasības noteiktas nacionālajos standartos: LVS EN ISO 9241-210:2019 "Cilvēka un sistēmas mijiedarbības ergonomika. 210.daļa: Cilvēkorientēta interaktīvo sistēmu projektēšana (ISO 9241-210:2019)" un LVS EN 301549:2021 "IKT produktu un pakalpojumu pieejamības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vides prasību (zaļais publiskais iepirkums), digitālās piekļūstamības prasību un inovatīvu pakalpojumu integrēšana preču un pakalpojuma iepirkumos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Publiskos iepirkumus finansējuma saņēmējs un sadarbības partneri veic atklātā, pārredzamā, konkurenci nodrošinošā, ja vien tas ir iespējams, sociāli atbildīgā veidā un saskaņā ar normatīvajiem aktiem publisko iepirkumu jomā, ievērojot nediskriminācijas principus. Projekta ietvaros ir atbalstāma vides prasību un inovatīvu pakalpojumu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34.punkta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normatīvajos aktos nav noteikti kritēriji iespēju robežu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Publiskos iepirkumus finansējuma saņēmējs un sadarbības partneri veic atklātā, pārredzamā, konkurenci nodrošinošā veidā  un saskaņā ar normatīvajiem aktiem publisko iepirkumu jomā, ievērojot nediskriminācijas principus. Projekta ietvaros ir atbalstāms sociāli atbildīgs iepirkums, vides prasību un inovatīvu pakalpojumu integrēšana preču un pakalpojuma iepirkumos (zaļais publiskais iepirkums, inovāciju publiskais iepirkums un sociāli atbildīgs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vides prasību (zaļais publiskais iepirkums), digitālās piekļūstamības prasību un inovatīvu pakalpojumu integrēšana preču un pakalpojuma iepirkumos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Publiskos iepirkumus finansējuma saņēmējs un sadarbības partneri veic atklātā, pārredzamā, konkurenci nodrošinošā, ja vien tas ir iespējams, sociāli atbildīgā veidā un saskaņā ar normatīvajiem aktiem publisko iepirkumu jomā, ievērojot nediskriminācijas principus. Projekta ietvaros ir atbalstāma vides prasību un inovatīvu pakalpojumu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būtu skaidri saprotami nosacījumi attiecībā uz iepirkumu veikšanu pasākuma ietvaros, aicinām precizēt 34. punkta redakciju, skaidri norādot, vai sociāli atbildīga publiskā iepirkuma principu ievērošana ir atbalstāma, t.i., vēlama, vai obligāta, ņemot vērā, ka 34.punkta ievaddaļa nosaka, ka sociāli atbildīga publiskā iepirkuma principus piemēro, ja vien tas ir iespējams, un pēc būtības šo principu ir iespējams ievērot visos iepirkumos.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vides prasību (zaļais publiskais iepirkums), digitālās piekļūstamības prasību un inovatīvu pakalpojumu integrēšana preču un pakalpojuma iepirkumos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projekta izmaksu un ieguvumu analīzi, ko pievieno projekta iesniegumam. Izmaksu un ieguvumu analīzei jāparāda, ka  projekta kopējie ieguvumi un ietaupījumi ir lielāki par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aizstāt vārdus "Finansējuma saņēmējs" ar vārdiem "Projekta iesniedzējs", ņemot vērā, ka izmaksu un ieguvumu analīzi saskaņā ar Ministru kabineta 2023 . gada 13. jūlija noteikumos Nr. 408 "Kārtība, kādā Eiropas Savienības fondu vadībā iesaistītās institūcijas nodrošina šo fondu ieviešanu 2021.–2027. gada plānošanas periodā" noteikto veic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punkts ir dzēsts, jo izmaksu un ieguvumu analīze ir izstrādāta Noteikumu projekta izstrādes laikā un pievienota Noteikumu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saņēmējam un sadarbības partnerim ir pienākums izstrādāt iekšējās kontroles sistēmu (iekšējo kārtību), ietverot tajā informāciju par interešu konflikta, krāpšanas, korupcijas risku un dubultā finansējuma novēršanas mehānismiem.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projekta izmaksu un ieguvumu analīzi, ko pievieno projekta iesniegumam. Izmaksu un ieguvumu analīzei jāparāda, ka  projekta kopējie ieguvumi un ietaupījumi ir lielāki par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1.1.1.6.pasākuma ietvaros plānots finansēt tikai vienu projektu, aicinām izvērtēt, vai šī pasākuma ietvaros nebūtu lietderīgi izmaksu un ieguvumu analīzi izstrādāt jau noteikumu projekta skaņošanas laikā un iekļaut to anotācijā (pielikumā pievienojot aprēķinu failu), attiecīgi  - tādā gadījumā šo noteikumu punktu būtu jāsvītro. Šāda pieeja atbalsta programmas izstrādātājs savlaicīgi varētu novērtēt, vai plānotie ieguldījumi ir lietderīgi un rada pietiekamus sociālekonomiskos ieguvumus, kā arī mazinātu administratīvo slogu gan finansējuma saņēmēja, gan sadarbības iestādes pusē.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un ieguvumu analīze ir izstrādāta Noteikumu projekta izstrādes laikā un pievienota Noteikumu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saņēmējam un sadarbības partnerim ir pienākums izstrādāt iekšējās kontroles sistēmu (iekšējo kārtību), ietverot tajā informāciju par interešu konflikta, krāpšanas, korupcijas risku un dubultā finansējuma novēršanas mehānismiem.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1.1. sadaļas apakšsadaļu "Apraksts" arī ar norādi uz Eiropas Savienības fondu 2021.–2027. gada plānošanas perioda vadības likuma 19. panta </w:t>
            </w:r>
            <w:r w:rsidR="00000000" w:rsidRPr="00000000" w:rsidDel="00000000">
              <w:rPr>
                <w:u w:val="single"/>
                <w:rtl w:val="0"/>
              </w:rPr>
              <w:t xml:space="preserve">6. punktu</w:t>
            </w:r>
            <w:r w:rsidR="00000000" w:rsidRPr="00000000" w:rsidDel="00000000">
              <w:rPr>
                <w:rtl w:val="0"/>
              </w:rPr>
              <w:t xml:space="preserve">, ņemot vērā noteikumu projekta izdošanas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problēmas un risinājumi” norādīts, ka finansējuma saņēmējam izstrādājot projekta pieteikumu  jāiekļauj informācija par lietotāju skaita palielināšanas plānu, lai nodrošinātu ka veiktās  investīcijas ir ar maksimāli lielu nacionālo ietekmi un atdevi. Lūdzam minētajā rindkopā aizstāt vārdus “finansējuma saņēmējam” ar vārdiem “projekta iesniedzējam”, ņemot vērā Likuma 1.panta 5) punktā noteikto, ka projekta iesniedzējs — tiešās vai pastarpinātās pārvaldes iestāde, atvasināta publiska persona, cita valsts iestāde, fiziskā persona, kā arī juridiskā persona, kura iesniedz projekta iesniegumu. Kā arī lūdzam lietot jēdzienu "projekta iesniegums" atbilstoši Likuma 1.panta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atbilstoši priekšlikumam. Gala redakcija "Projekta iesniedzējam, izstrādājot projekta pieteikumu, jāiekļauj informācija par lietotāju skaita palielināšanas plānu, lai nodrošinātu ka veiktās investīcijas ir ar maksimāli lielu nacionālo ietekmi un atdevi."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anotācijas sadaļā "Risinājuma apraksts" IZM sniegto informāciju par Eiropā/kaimiņvalstu EOSC tīklu izstrādes izmaksām, kā arī izziņas 2.punktā sniegto skaidrojumu, kur IZM atzīmējuši ka ne visas institūcijas, kas reģistrētas zinātnisko institūciju reģistrā mērķtiecīgi plāno ieviest atvērtās zinātnes praksi, tai skaitā šī platforma un pakalpojumi būs jāuztur arī pēc projekta beigām no zinātniskās bāzes finansējuma, sniegtā informācija kopā nesniedz  pārliecību par pamatojumu Latvijas zinātnes digitalizācijas nodrošināšanas projekta kopējo izmaksu apmērā- 21,5 milj euro, jo īpaši ņemot vērā to, ka ES līmeņa EOSC mezgla platforma izmaksā 36 milj euro (tvērums- visa Eiropa), Eiropas lielo ekonomiku un lielo valstu EOSC nacionālie tīkli (Vācija, Spānija, Polija) - 20 milj eur, bet, piemēram, Īrijas, kas bieži tiek pieminēta Eiropas Savienības fondu pārvaldības un efektivitātes labas pārvaldības kontekstā, tikai 10 + milj euro, aicinām IZM anotācijā vairāk izskaidrot projektā plānotās izmaksu pozīcijas un to apmērus, kā arī iegūt Viedās administrācijas un reģionālās attīstības ministrijas kā galvenās atbildīgās institūcijas par IKT projektu vienotu pārvaldību apliecinājumu par izmaksu pamatotību. Papildus informējam, ka esam no Lietuvas un Igaunijas kolēģiem pieprasījuši informāciju par zinātnes digitalizācijai plānotajām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informāciju par visiem (par katru) horizontālajiem principiem, vai plānotajām investīcijām un pasākumam būs tieša, netieša, vai nebūs ietekmes uz horizontālajiem principiem, kā arī precizēt noteikumu projektu, ja pasākumam ir tieša ietekme uz horizontālajiem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šobrīd 8.2. sadaļā ir norādīts, ka: “1.1.1.6. pasākumam nav ietekmes uz horizontālo principu “Vienlīdzība, iekļaušana, nediskriminācija un pamattiesību ievēattiecinrošana” (HP VINPI), jo pasākuma projekts būs izteikti tehnisks un vērsts uz infrastruktūras, kas nav publiski pieejama, attīstību. Vienlaikus 1.1.1.6. pasākuma projekta īstenošanā ir jāievēro nediskriminācijas principi un jāīsteno vispārīgās HP darbības, projekta iesniegumā paredzot vismaz 1 vispārīgu HP VINPI darbības veikšanu, kas attiecas uz publicitāti vai personālu. Arī uz horizontālajiem principiem “Klimatdrošināšana”, “Energoefektivitāte pirmajā vietā” un “Nenodarīt būtisku kaitējumu” 1.1.1.6.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atbildību par uzkrāto nacionālo rādītāju datu un RIS3 rādītāju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rādītāji cita starpā paredz tieši EOSC izveidotos pakalpojumus. Aicinām precizēt anotācijā norādīto informāciju, proti, ka  sadarbības iestāde pārbauda izdevumus un sasniegto rezultātu, t.i., izveidoto pakalpojumu esamību, un var piesaistīt ekspertus EOSC radīto pakalpojumu izveides un to funkcionalitātes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izmaksu lietderības pamatojumu un noteikumu projektā paredzēto datu pārnešanu un pārvaldību, lūdzam anotācijā sniegt skaidrojumu, vai ir veikta plānoto darbu priekšizpēte, piemēram, vai visi sadarbības partneru pārvaldībā pētniecības dati EOSC būs iekļaujami un vai pēc savietojamības nodrošināšanas pētniecības dati, kas pārnesti, nepārklāsies ar jau citu valstu atvērtajās platformās pieejamiem pētniecības datiem attiecīgajos nozaru pētījumu ietvaros utml.  Lūdzam paredzēt pienākumu finansējuma saņēmējam nodrošināt pārnesamo datu nepārklāšanos projekta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nav paredzēta datu pārnešana.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EOSC mezgla galvenais uzdevums ir nodrošināt centralizētu piekļuvi datiem, kā arī infrastruktūru pētniecības datu apstrādei. Ja dati jau ir pieejami portālā data.gov.lv, nav nepieciešamības tos atkārtoti glabāt citos repozitorijos. Nav paredzēts ANM 2.3.1.i projektā izveidotā pakalpojuma “Pētniecības datu repozitorijs DataverseLV un datu kuratoru programma“ ietvaros izveidotās datu kopas pārnest. Vienlaikus, tiek paredzēti risinājumi, lai šīs datu kopas būtu iespējams lietot, izmantojot kopējo EOSC infrastruktūru – t.i. esošo datu repozitoriju integrācija ar EOSC nacionālo mezglu. Tāpat paredzēta papildus datu uzglabāšanas un pārraides infrastruktūra, lai nodrošinātu papildus kapacitāti pētniecības datu uzglabāšanai. Ir plānots nodrošināt uzglabāšanu datu veidiem, kas netiek uzglabāti repozitorijos (piem. liela apjoma jēldatiem, datiem pētījuma laikā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sadaļā, kur minēts, ka pēc investīcijas projekta noslēguma, EOSC nacionālā mezgla un tā pakalpojumu uzturēšanas izmaksas ik gadu ir paredzēts segt no Zinātnes bāzes finansējuma, norādīt aplēses par EOSC nacionālā mezgla un tā pakalpojumu ikgadējām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34. lpp un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1.1.1.6. pasākuma izveidoto sistēmu ilgtspēju, Izglītības un zinātnes ministrija sadarbībā ar VPC sagatavos un izglītības un zinātnes ministram līdz 2027. gada 30. novembrim normatīvajos aktos noteiktajā kārtībā iesniegs izskatīšanai Ministru kabinetā fiskāli neitrālus priekšlikumus par 1.1.1.6. pasākuma īstenoto darbību ilgtspēju, tai skaitā EOSC nacionālā mezgla tīkla, pakalpojumu, rīku un vides pielietošanu, atbildību sadalījumu, tālāko attīstību, nepieciešamajiem resursiem un finansējuma avotiem sistēmu darbībai pēc 2029. gada 30. 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salāgot anotācijas 17.lpp trešajā rindkopā norādīto pasākuma ietvaros plānotā kopējā attiecināmā finansējuma sadalījumu pa finansējuma avotiem ar noteikumu projekta 10.punktā norādīto sadalījumu pa finansējuma avotiem (novirze ERAF finansējumam 1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ERAF finansējuma daļas summa - no "18 487 502" uz  "18 487 501"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attiecībā uz netiešajām attiecināmām izmaksām. Noteikumu projekta 26.punkts paredz, ka neattiecināmās izmaksas plāno kā vienu izmaksu pozīciju, piemērojot netiešo izmaksu vienoto likmi 15 procentu apmērā no šo noteikumu 25.1. apakšpunktā minētajām tiešajām personāla izmaksām, kas radušās uz darba līguma, uzņēmuma līguma vai rīkojuma par iecelšanu amatā pamata. Tai pašā laikā anotācijā īpaši izcelts, ka netiešās attiecināmās izmaksas veidojas kā vienota likme no tiešajām attiecināmajām personāla izmaksām, kas radušās tikai uz darba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salāgots gan noteikumos, gan anotācijā – netiešās attiecināmās izmaksas veidojas kā vienota likme no tiešajām attiecināmajām personāla izmaksām, kas radušās uz darba līguma vai rīkojuma par iecelšanu amatā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saskaņo , ka 1.1.1.6. pasākumam nav ietekmes uz horizontālo principu “Vienlīdzība, iekļaušana, nediskriminācija un pamattiesību ievēattiecinrošana” (HP VINPI), jo pasākuma projekts būs izteikti tehnisks un vērsts uz infrastruktūras, kas nav publiski pieejama, attīstību. Vienlaikus 1.1.1.6. pasākuma projekta īstenošanā ir jāievēro nediskriminācijas principi un jāīsteno vispārīgās HP darbības, projekta iesniegumā paredzot vismaz 1 vispārīgu HP VINPI darbību veikšanu, kas attiecas uz publicitāti vai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pārvietota uz anotācijas 8.2.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sinerģiju ar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trešo projektu iesniegumu atlases kārtu, kur tiek finansēta dalība konkrētos konsorcijos.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pasākumā tiks nodrošināta sinerģija un papildinātība, kā arī nepārklāšanās ar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(turpmāk 1.1.1.5 pasākuma trešā kārta) projektiem. 1.1.1.5 pasākuma trešajā kārtā tiek sniegts atbalsts ESFRI/ERIC nacionālajiem partnerības plāniem. ESFRI/ERIC integrē infrastruktūras konkrētajā tematiskajā zinātnes nozarē.  ESFRI/ERIC nefinansē EOSC aktivitātes, bet izstrādā zinātnes  nozarēm (biomedicīna, bioekonomika, enerģētika u.c.) standartu Eiropas mērogā kā tiek veidoti EOSC-savietojami tematiskie datu resursi, līdz ar to veidojas sinerģija, bet nav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sadaļā "Pasākuma īstenošanas nosacījumi" ietvertajiem intervences kodien norādīt arī to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"Pasākuma īstenošanas nosacījumi" papildināta ar intervences kodu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sadaļā "Risinājuma apraksts" norādīto, ka 1.1.1.6. pasākums paredz t.sk. drošas pētniecības vides izstrādi,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kiberdrošības jomā ieguldījumi plānoti EOSC nacionālajā mezglā, kas saskaņā ar anotāciju ir vide pētniecības datu un rezultātu uzglabāšanai, pieejamībai un atkārtotai izmantošanai, neietverot pētniecības procesu - datu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nav paredzēts finansējums kiberdrošības prasību īstenošanai zinātniskajās institūcijās, lai gan tās NKDL ir noteiktas par svarīgo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nav paredzēts finansējums kiberdrošības prasību īstenošanai zinātniskajās institūcijās, </w:t>
            </w:r>
            <w:r w:rsidR="00000000" w:rsidRPr="00000000" w:rsidDel="00000000">
              <w:rPr>
                <w:u w:val="single"/>
                <w:rtl w:val="0"/>
              </w:rPr>
              <w:t xml:space="preserve">tādēļ ir nepieciešama investīcija šo prasību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anotācijā, kādēļ nevalstiskās organizācijas netika iesaistītas projekta izstrādē (6.1. apakšnodaļa).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tikusi izsludināta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iezīmē projekta tiešo mērķa grupu - pētnieki publiskā un privātā sektorā, zinātniskās institūcijas, kas atbilst pētniecības organizācijas statusam tā atbalstot to dalību atvērtās zinātnes prakses īstenošanā. EOSC ir pētniecības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mērķa grupa ir arī citas juridiskās personas, kas ir ieinteresētas zinātnes rezultātu izmantošanā, kā arī atvērtā zinātne nodrošinās padziļinātu sabiedrības iesaisti pētniecības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projektam bija izsludināta publiskā apspriešana laika periodā no 27.12.2024 - 10.01.2025., kur arī nevalstisko organizāciju pārstāvji varēja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2.1. sadaļas apakšsadaļu "Juridiskās personas" ar norādi uz Izglītības un zinātnes ministriju kā atbildīgo iestādi, savukārt atbilstošajā apakšsadaļā "Ietekmes apraksts" norādot, ka minētā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saskaņā ar priekšlikumā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finansējuma sadalījumu pa gadiem un finansējuma avotiem. Vēršam uzmanību, ka norādītais finansējuma sadalījums kopsummā nesakrīt ar noteikumu projekta 11.punktā minēto  pasākuma īstenošanai kopējo pieejamo attiecināmo finansējumu sadalījumā pa finansējuma avotiem (novirze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kopējais finansējums salāgots ar noteikumu projekta 11. punktā minēto kopējo pieejamo attiecināmo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8.1.13. apakšpunktā norādīts, ka plānots apstrādāt pētniecības kopienas pārstāvju, piemēram, zinātnieku un studentu identifikācijas datus (piemēram, vārdu, e-pastu un organizācijas informāciju), autentifikācijas un piekļuves datus, kas būs nepieciešami autorizācijas un autentifikācijas nolūkiem. Ņemot vērā, ka tiesību akta projektā nav iekļautas normas, kas nosaka iepriekšminēto personas datu apstrādi, aicinām precizēt tiesību aktu projektu vai anotācijā paskaidrot kādā tiesību aktā šī informācija ir atrodama.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8.1.13.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noteiktajam, aicinām anotācijas 8.1.13. apakšpunktu ietvert informāciju par projektā paredzēto personu datu apstrādi, norādot tiesisko pamatojumu personu datu apstrādei,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saskaņā ar priekšlikumā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(nav ietekmes)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 vērtēšanas kritērija veidu, kura ietvaros projekta iesniedzējam ir jāsniedz informācija par šī horizontālā principa ievērošanu, paredzot vispārīgas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sadaļas “1.3. Pašreizējā situācija, problēmas un risinājumi” uz sadaļu “8.2. Cita informācija” pārvietota informācija par ietekmi uz HP VINPI, kā arī pievienota informācija par projektu iesniegumu vērtēšanas kritērija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nosaka, ka Projekta ietvaros ir atbalstāma sociāli atbildīga publiskā iepirkuma principu ievērošana, taču tas netiek noteikts kā nosacījums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24-TA-3298</w:t>
    </w:r>
    <w:r>
      <w:br/>
    </w:r>
    <w:r w:rsidR="00000000" w:rsidRPr="00000000" w:rsidDel="00000000">
      <w:rPr>
        <w:rtl w:val="0"/>
      </w:rPr>
      <w:t xml:space="preserve">05.06.2025. 17.04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24-TA-3298</w:t>
    </w:r>
    <w:r>
      <w:br/>
    </w:r>
    <w:r w:rsidR="00000000" w:rsidRPr="00000000" w:rsidDel="00000000">
      <w:rPr>
        <w:rtl w:val="0"/>
      </w:rPr>
      <w:t xml:space="preserve">05.06.2025. 17.04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Izziņa_24-TA-3298.docx</dc:title>
</cp:coreProperties>
</file>

<file path=docProps/custom.xml><?xml version="1.0" encoding="utf-8"?>
<Properties xmlns="http://schemas.openxmlformats.org/officeDocument/2006/custom-properties" xmlns:vt="http://schemas.openxmlformats.org/officeDocument/2006/docPropsVTypes"/>
</file>