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C82E2D" w14:textId="11E5B488" w:rsidR="00F55666" w:rsidRPr="00E91207" w:rsidRDefault="0009291F" w:rsidP="1A7EB404">
      <w:pPr>
        <w:spacing w:after="240"/>
        <w:jc w:val="center"/>
        <w:rPr>
          <w:b/>
          <w:bCs/>
          <w:color w:val="auto"/>
          <w:szCs w:val="28"/>
        </w:rPr>
      </w:pPr>
      <w:r w:rsidRPr="00E91207">
        <w:rPr>
          <w:b/>
          <w:bCs/>
          <w:color w:val="auto"/>
          <w:szCs w:val="28"/>
        </w:rPr>
        <w:t>Publiskās apspriešanas laikā 26.01.2026. - 09.02.2026. saņemto viedokļu, priekšlikumu un iebildumu apkopojums par</w:t>
      </w:r>
      <w:r w:rsidR="790EC524" w:rsidRPr="00E91207">
        <w:rPr>
          <w:b/>
          <w:bCs/>
          <w:color w:val="auto"/>
          <w:szCs w:val="28"/>
        </w:rPr>
        <w:t xml:space="preserve"> MK noteikumu projektu</w:t>
      </w:r>
      <w:r w:rsidRPr="00E91207">
        <w:rPr>
          <w:b/>
          <w:bCs/>
          <w:color w:val="auto"/>
          <w:szCs w:val="28"/>
        </w:rPr>
        <w:t xml:space="preserve"> </w:t>
      </w:r>
      <w:r w:rsidR="45C9D448" w:rsidRPr="00E91207">
        <w:rPr>
          <w:b/>
          <w:bCs/>
          <w:color w:val="auto"/>
          <w:szCs w:val="28"/>
        </w:rPr>
        <w:t>"</w:t>
      </w:r>
      <w:r w:rsidRPr="00E91207">
        <w:rPr>
          <w:b/>
          <w:bCs/>
          <w:color w:val="auto"/>
          <w:szCs w:val="28"/>
        </w:rPr>
        <w:t>Kārtība, kādā izvērtē, reģistrē, ievieš un aktualizē klīniskās vadlīnijas, klīniskos algoritmus un klīniskos ceļus</w:t>
      </w:r>
      <w:r w:rsidR="0FEB76B2" w:rsidRPr="00E91207">
        <w:rPr>
          <w:b/>
          <w:bCs/>
          <w:color w:val="auto"/>
          <w:szCs w:val="28"/>
        </w:rPr>
        <w:t>"</w:t>
      </w:r>
      <w:r w:rsidRPr="00E91207">
        <w:rPr>
          <w:b/>
          <w:bCs/>
          <w:color w:val="auto"/>
          <w:szCs w:val="28"/>
        </w:rPr>
        <w:t>.</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2205"/>
        <w:gridCol w:w="3501"/>
      </w:tblGrid>
      <w:tr w:rsidR="00F55666" w:rsidRPr="00E91207" w14:paraId="7C9418BD" w14:textId="77777777" w:rsidTr="1A7EB404">
        <w:tc>
          <w:tcPr>
            <w:tcW w:w="750" w:type="dxa"/>
            <w:shd w:val="clear" w:color="auto" w:fill="FFFFFF" w:themeFill="background1"/>
            <w:noWrap/>
            <w:tcMar>
              <w:top w:w="75" w:type="dxa"/>
              <w:left w:w="75" w:type="dxa"/>
              <w:bottom w:w="75" w:type="dxa"/>
              <w:right w:w="75" w:type="dxa"/>
            </w:tcMar>
            <w:vAlign w:val="center"/>
          </w:tcPr>
          <w:p w14:paraId="2D2814DC" w14:textId="77777777" w:rsidR="00F55666" w:rsidRPr="00E91207" w:rsidRDefault="0009291F">
            <w:pPr>
              <w:jc w:val="center"/>
              <w:rPr>
                <w:color w:val="auto"/>
                <w:szCs w:val="28"/>
              </w:rPr>
            </w:pPr>
            <w:r w:rsidRPr="00E91207">
              <w:rPr>
                <w:b/>
                <w:color w:val="auto"/>
                <w:szCs w:val="28"/>
              </w:rPr>
              <w:t>Nr.p.k.</w:t>
            </w:r>
          </w:p>
        </w:tc>
        <w:tc>
          <w:tcPr>
            <w:tcW w:w="4055" w:type="dxa"/>
            <w:shd w:val="clear" w:color="auto" w:fill="FFFFFF" w:themeFill="background1"/>
            <w:noWrap/>
            <w:tcMar>
              <w:top w:w="75" w:type="dxa"/>
              <w:left w:w="75" w:type="dxa"/>
              <w:bottom w:w="75" w:type="dxa"/>
              <w:right w:w="75" w:type="dxa"/>
            </w:tcMar>
            <w:vAlign w:val="center"/>
          </w:tcPr>
          <w:p w14:paraId="0BF7694A" w14:textId="77777777" w:rsidR="00F55666" w:rsidRPr="00E91207" w:rsidRDefault="0009291F">
            <w:pPr>
              <w:jc w:val="center"/>
              <w:rPr>
                <w:color w:val="auto"/>
                <w:szCs w:val="28"/>
              </w:rPr>
            </w:pPr>
            <w:r w:rsidRPr="00E91207">
              <w:rPr>
                <w:b/>
                <w:color w:val="auto"/>
                <w:szCs w:val="28"/>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14:paraId="69D53D2E" w14:textId="77777777" w:rsidR="00F55666" w:rsidRPr="00E91207" w:rsidRDefault="0009291F">
            <w:pPr>
              <w:jc w:val="center"/>
              <w:rPr>
                <w:color w:val="auto"/>
                <w:szCs w:val="28"/>
              </w:rPr>
            </w:pPr>
            <w:r w:rsidRPr="00E91207">
              <w:rPr>
                <w:b/>
                <w:color w:val="auto"/>
                <w:szCs w:val="28"/>
              </w:rPr>
              <w:t>Iesniegtā viedokļa / priekšlikuma / iebilduma būtība</w:t>
            </w:r>
          </w:p>
        </w:tc>
        <w:tc>
          <w:tcPr>
            <w:tcW w:w="2205" w:type="dxa"/>
            <w:shd w:val="clear" w:color="auto" w:fill="FFFFFF" w:themeFill="background1"/>
            <w:noWrap/>
            <w:tcMar>
              <w:top w:w="75" w:type="dxa"/>
              <w:left w:w="75" w:type="dxa"/>
              <w:bottom w:w="75" w:type="dxa"/>
              <w:right w:w="75" w:type="dxa"/>
            </w:tcMar>
            <w:vAlign w:val="center"/>
          </w:tcPr>
          <w:p w14:paraId="484A38B0" w14:textId="77777777" w:rsidR="00F55666" w:rsidRPr="00E91207" w:rsidRDefault="0009291F">
            <w:pPr>
              <w:jc w:val="center"/>
              <w:rPr>
                <w:color w:val="auto"/>
                <w:szCs w:val="28"/>
              </w:rPr>
            </w:pPr>
            <w:r w:rsidRPr="00E91207">
              <w:rPr>
                <w:b/>
                <w:color w:val="auto"/>
                <w:szCs w:val="28"/>
              </w:rPr>
              <w:t>Ņemts vērā / ņemts vērā daļēji / nav ņemts vērā</w:t>
            </w:r>
          </w:p>
        </w:tc>
        <w:tc>
          <w:tcPr>
            <w:tcW w:w="3501" w:type="dxa"/>
            <w:shd w:val="clear" w:color="auto" w:fill="FFFFFF" w:themeFill="background1"/>
            <w:noWrap/>
            <w:tcMar>
              <w:top w:w="75" w:type="dxa"/>
              <w:left w:w="75" w:type="dxa"/>
              <w:bottom w:w="75" w:type="dxa"/>
              <w:right w:w="75" w:type="dxa"/>
            </w:tcMar>
            <w:vAlign w:val="center"/>
          </w:tcPr>
          <w:p w14:paraId="012015BE" w14:textId="77777777" w:rsidR="00F55666" w:rsidRPr="00E91207" w:rsidRDefault="0009291F">
            <w:pPr>
              <w:jc w:val="center"/>
              <w:rPr>
                <w:color w:val="auto"/>
                <w:szCs w:val="28"/>
              </w:rPr>
            </w:pPr>
            <w:r w:rsidRPr="00E91207">
              <w:rPr>
                <w:b/>
                <w:color w:val="auto"/>
                <w:szCs w:val="28"/>
              </w:rPr>
              <w:t>Skaidrojums, kādā veidā viedoklis / priekšlikums / iebildums ir ņemts vērā vai ņemts vērā daļēji, vai pamatojums, ja viedoklis / priekšlikums / iebildums nav ņemts vērā</w:t>
            </w:r>
          </w:p>
        </w:tc>
      </w:tr>
      <w:tr w:rsidR="00F55666" w:rsidRPr="00E91207" w14:paraId="6C1AF253" w14:textId="77777777" w:rsidTr="1A7EB404">
        <w:tc>
          <w:tcPr>
            <w:tcW w:w="750" w:type="dxa"/>
            <w:shd w:val="clear" w:color="auto" w:fill="FFFFFF" w:themeFill="background1"/>
            <w:noWrap/>
            <w:tcMar>
              <w:top w:w="75" w:type="dxa"/>
              <w:left w:w="75" w:type="dxa"/>
              <w:bottom w:w="75" w:type="dxa"/>
              <w:right w:w="75" w:type="dxa"/>
            </w:tcMar>
            <w:vAlign w:val="center"/>
          </w:tcPr>
          <w:p w14:paraId="0135CBF0" w14:textId="77777777" w:rsidR="00F55666" w:rsidRPr="00E91207" w:rsidRDefault="0009291F">
            <w:pPr>
              <w:jc w:val="center"/>
              <w:rPr>
                <w:color w:val="auto"/>
                <w:szCs w:val="28"/>
              </w:rPr>
            </w:pPr>
            <w:r w:rsidRPr="00E91207">
              <w:rPr>
                <w:color w:val="auto"/>
                <w:szCs w:val="28"/>
              </w:rPr>
              <w:t>1.</w:t>
            </w:r>
          </w:p>
        </w:tc>
        <w:tc>
          <w:tcPr>
            <w:tcW w:w="4055" w:type="dxa"/>
            <w:shd w:val="clear" w:color="auto" w:fill="FFFFFF" w:themeFill="background1"/>
            <w:noWrap/>
            <w:tcMar>
              <w:top w:w="75" w:type="dxa"/>
              <w:left w:w="75" w:type="dxa"/>
              <w:bottom w:w="75" w:type="dxa"/>
              <w:right w:w="75" w:type="dxa"/>
            </w:tcMar>
            <w:vAlign w:val="center"/>
          </w:tcPr>
          <w:p w14:paraId="09795BB7" w14:textId="77777777" w:rsidR="00F55666" w:rsidRPr="00E91207" w:rsidRDefault="0009291F">
            <w:pPr>
              <w:jc w:val="left"/>
              <w:rPr>
                <w:color w:val="auto"/>
                <w:szCs w:val="28"/>
              </w:rPr>
            </w:pPr>
            <w:r w:rsidRPr="00E91207">
              <w:rPr>
                <w:color w:val="auto"/>
                <w:szCs w:val="28"/>
              </w:rPr>
              <w:t>Veselības aprūpes darba devēju asociācija, Ramona Sātika</w:t>
            </w:r>
          </w:p>
        </w:tc>
        <w:tc>
          <w:tcPr>
            <w:tcW w:w="4056" w:type="dxa"/>
            <w:shd w:val="clear" w:color="auto" w:fill="FFFFFF" w:themeFill="background1"/>
            <w:noWrap/>
            <w:tcMar>
              <w:top w:w="75" w:type="dxa"/>
              <w:left w:w="75" w:type="dxa"/>
              <w:bottom w:w="75" w:type="dxa"/>
              <w:right w:w="75" w:type="dxa"/>
            </w:tcMar>
            <w:vAlign w:val="center"/>
          </w:tcPr>
          <w:p w14:paraId="78BD603C" w14:textId="77777777" w:rsidR="00F55666" w:rsidRPr="00E91207" w:rsidRDefault="2178D3D7">
            <w:pPr>
              <w:jc w:val="left"/>
              <w:rPr>
                <w:color w:val="auto"/>
                <w:szCs w:val="28"/>
              </w:rPr>
            </w:pPr>
            <w:r w:rsidRPr="00E91207">
              <w:rPr>
                <w:color w:val="auto"/>
                <w:szCs w:val="28"/>
              </w:rPr>
              <w:t>1. Rosinām papildināt VI.Noslēguma jautājumi ar jaunu punktu</w:t>
            </w:r>
            <w:r w:rsidR="1D4DBEE4" w:rsidRPr="00E91207">
              <w:rPr>
                <w:color w:val="auto"/>
                <w:szCs w:val="28"/>
              </w:rPr>
              <w:br/>
            </w:r>
            <w:r w:rsidRPr="00E91207">
              <w:rPr>
                <w:color w:val="auto"/>
                <w:szCs w:val="28"/>
              </w:rPr>
              <w:t xml:space="preserve">21. Klīniskās vadlīnijas, klīniskos algoritmus un klīniskos ceļus neatliekamo situāciju ārstēšanai ārstniecības iestādes, kas nodrošina neatliekamās medicīniskās palīdzības pakalpojumus, ievieš un piemēro obligāti. Atkāpes ir pieļaujamas tikai pacienta dzīvības vai veselības apdraudējuma novēršanai un, ja tās ir atbilstoši dokumentētas pacienta medicīniskajā dokumentācijā. </w:t>
            </w:r>
            <w:r w:rsidRPr="00E91207">
              <w:rPr>
                <w:color w:val="auto"/>
                <w:szCs w:val="28"/>
              </w:rPr>
              <w:lastRenderedPageBreak/>
              <w:t>Neatliekamās medicīniskās palīdzības dienests uztur un aktualizē ārstniecības iestāžu sarakstu, un pacientu nogādāšanu un stacionēšanu veic atbilstoši ārstniecības iestāžu kompetencei un spējai nodrošināt vadlīniju izpildi.</w:t>
            </w:r>
            <w:r w:rsidR="1D4DBEE4" w:rsidRPr="00E91207">
              <w:rPr>
                <w:color w:val="auto"/>
                <w:szCs w:val="28"/>
              </w:rPr>
              <w:br/>
            </w:r>
            <w:r w:rsidR="1D4DBEE4" w:rsidRPr="00E91207">
              <w:rPr>
                <w:color w:val="auto"/>
                <w:szCs w:val="28"/>
              </w:rPr>
              <w:br/>
            </w:r>
            <w:r w:rsidRPr="00E91207">
              <w:rPr>
                <w:color w:val="auto"/>
                <w:szCs w:val="28"/>
              </w:rPr>
              <w:t xml:space="preserve">2. Neatbalstam II.Kārtība klīnisko vadlīniju reģistrācijai 7.4. punktā noteikto esošajā redakcijā, jo profesionālās asociācijas Latvijā nav valsts regulētas, sertificētas vai akreditētas, kā arī var nepārstāvēt nozares vairākumu (piemēram, asociāciju pārstāv tikai 30% no atbilstošās nozares profesionāļiem), turklāt mēdz būt, ka vienā nozarē ir 2 vai vairāk šādas asociācijas. Šāds mehānisms dod asociācijām iespēju lobēt savas intereses, kā arī faktiski deleģē publiskas varas funkciju privātām personām bez atbildības un kontroles mehānismiem. Tādēļ ieteicams noteikt asociāciju iesaisti konsultatīvā formā, </w:t>
            </w:r>
            <w:r w:rsidRPr="00E91207">
              <w:rPr>
                <w:color w:val="auto"/>
                <w:szCs w:val="28"/>
              </w:rPr>
              <w:lastRenderedPageBreak/>
              <w:t>saglabājot gala lēmuma pieņemšanu valsts institūcijas kompetencē.</w:t>
            </w:r>
            <w:r w:rsidR="1D4DBEE4" w:rsidRPr="00E91207">
              <w:rPr>
                <w:color w:val="auto"/>
                <w:szCs w:val="28"/>
              </w:rPr>
              <w:br/>
            </w:r>
          </w:p>
        </w:tc>
        <w:tc>
          <w:tcPr>
            <w:tcW w:w="2205" w:type="dxa"/>
            <w:shd w:val="clear" w:color="auto" w:fill="FFFFFF" w:themeFill="background1"/>
            <w:noWrap/>
            <w:tcMar>
              <w:top w:w="75" w:type="dxa"/>
              <w:left w:w="75" w:type="dxa"/>
              <w:bottom w:w="75" w:type="dxa"/>
              <w:right w:w="75" w:type="dxa"/>
            </w:tcMar>
            <w:vAlign w:val="center"/>
          </w:tcPr>
          <w:p w14:paraId="0045855D" w14:textId="24B4A779" w:rsidR="00F55666" w:rsidRPr="00E91207" w:rsidRDefault="22B928D3">
            <w:pPr>
              <w:jc w:val="left"/>
              <w:rPr>
                <w:color w:val="auto"/>
                <w:szCs w:val="28"/>
              </w:rPr>
            </w:pPr>
            <w:r w:rsidRPr="00E91207">
              <w:rPr>
                <w:color w:val="auto"/>
                <w:szCs w:val="28"/>
              </w:rPr>
              <w:lastRenderedPageBreak/>
              <w:t>Ņemts vērā daļēji</w:t>
            </w:r>
          </w:p>
          <w:p w14:paraId="26FE32D9" w14:textId="0618F6A9" w:rsidR="00F55666" w:rsidRPr="00E91207" w:rsidRDefault="00F55666">
            <w:pPr>
              <w:jc w:val="left"/>
              <w:rPr>
                <w:color w:val="auto"/>
                <w:szCs w:val="28"/>
              </w:rPr>
            </w:pPr>
          </w:p>
          <w:p w14:paraId="672A6659" w14:textId="5A45EE0F" w:rsidR="00F55666" w:rsidRPr="00E91207" w:rsidRDefault="00F55666">
            <w:pPr>
              <w:jc w:val="left"/>
              <w:rPr>
                <w:color w:val="auto"/>
                <w:szCs w:val="28"/>
              </w:rPr>
            </w:pPr>
          </w:p>
        </w:tc>
        <w:tc>
          <w:tcPr>
            <w:tcW w:w="3501" w:type="dxa"/>
            <w:shd w:val="clear" w:color="auto" w:fill="FFFFFF" w:themeFill="background1"/>
            <w:noWrap/>
            <w:tcMar>
              <w:top w:w="75" w:type="dxa"/>
              <w:left w:w="75" w:type="dxa"/>
              <w:bottom w:w="75" w:type="dxa"/>
              <w:right w:w="75" w:type="dxa"/>
            </w:tcMar>
            <w:vAlign w:val="center"/>
          </w:tcPr>
          <w:p w14:paraId="2984345E" w14:textId="539A2C23" w:rsidR="00F55666" w:rsidRPr="00E91207" w:rsidRDefault="3CE1717A" w:rsidP="0C2C859D">
            <w:pPr>
              <w:spacing w:line="259" w:lineRule="auto"/>
              <w:jc w:val="left"/>
              <w:rPr>
                <w:color w:val="auto"/>
                <w:szCs w:val="28"/>
              </w:rPr>
            </w:pPr>
            <w:r w:rsidRPr="00E91207">
              <w:rPr>
                <w:color w:val="auto"/>
                <w:szCs w:val="28"/>
              </w:rPr>
              <w:t xml:space="preserve">Rosinājums papildināt VI noslēguma jautājumus ar jaunu </w:t>
            </w:r>
            <w:r w:rsidR="009E0402">
              <w:rPr>
                <w:color w:val="auto"/>
                <w:szCs w:val="28"/>
              </w:rPr>
              <w:t>21.punktu</w:t>
            </w:r>
            <w:r w:rsidRPr="00E91207">
              <w:rPr>
                <w:color w:val="auto"/>
                <w:szCs w:val="28"/>
              </w:rPr>
              <w:t xml:space="preserve">, </w:t>
            </w:r>
            <w:r w:rsidR="33084D3F" w:rsidRPr="00E91207">
              <w:rPr>
                <w:color w:val="auto"/>
                <w:szCs w:val="28"/>
              </w:rPr>
              <w:t xml:space="preserve">netiek </w:t>
            </w:r>
            <w:r w:rsidRPr="00E91207">
              <w:rPr>
                <w:color w:val="auto"/>
                <w:szCs w:val="28"/>
              </w:rPr>
              <w:t xml:space="preserve">ņemts vērā, </w:t>
            </w:r>
            <w:r w:rsidR="020D0BAD" w:rsidRPr="00E91207">
              <w:rPr>
                <w:color w:val="auto"/>
                <w:szCs w:val="28"/>
              </w:rPr>
              <w:t>jo ĀL 9.</w:t>
            </w:r>
            <w:r w:rsidR="020D0BAD" w:rsidRPr="00E91207">
              <w:rPr>
                <w:color w:val="auto"/>
                <w:szCs w:val="28"/>
                <w:vertAlign w:val="superscript"/>
              </w:rPr>
              <w:t>1</w:t>
            </w:r>
            <w:r w:rsidR="020D0BAD" w:rsidRPr="00E91207">
              <w:rPr>
                <w:color w:val="auto"/>
                <w:szCs w:val="28"/>
              </w:rPr>
              <w:t>. pirmā daļa jau paredz, ka ārstniecību veic atbilstoši klīniskajam vadlīnijām, klīniskajiem algoritmiem un klīniskajiem ceļiem vai ārstniecībā izmantojamu metožu un zāļu lietošanas drošības un ārstēšanas efektivitātes  novērtējumam.</w:t>
            </w:r>
            <w:r w:rsidR="020D0BAD" w:rsidRPr="00E91207">
              <w:rPr>
                <w:color w:val="auto"/>
                <w:szCs w:val="28"/>
                <w:u w:val="single"/>
              </w:rPr>
              <w:t xml:space="preserve"> </w:t>
            </w:r>
            <w:r w:rsidR="308A60AF" w:rsidRPr="00E91207">
              <w:rPr>
                <w:color w:val="auto"/>
                <w:szCs w:val="28"/>
              </w:rPr>
              <w:t xml:space="preserve">NMPD kā ārstniecības </w:t>
            </w:r>
            <w:r w:rsidR="308A60AF" w:rsidRPr="00E91207">
              <w:rPr>
                <w:color w:val="auto"/>
                <w:szCs w:val="28"/>
              </w:rPr>
              <w:lastRenderedPageBreak/>
              <w:t xml:space="preserve">procesa dalībniekam ir saistošas Ārstniecības likuma 9.¹ pantā nostiprinātās prasības attiecībā uz klīnisko vadlīniju izmantošanu ārstniecībā, ciktāl tās ir piemērojamas neatliekamās medicīniskās palīdzības sniegšanai pirmsstacionārajā etapā. Vienlaikus NMPD darbība vērtējama, ņemot vērā neatliekamības apstākļus, pacienta stāvokļa smagumu, laika faktoru, pieejamos resursus un speciālos normatīvos aktus, kas regulē neatliekamās medicīniskās palīdzības sniegšanu. Atkāpšanās no klīniskajām vadlīnijām pati par sevi nav prettiesiska, ja tā ir objektīvi pamatota un atbilst profesionālajam standartam konkrētajā situācijā. </w:t>
            </w:r>
            <w:r w:rsidR="345447F4" w:rsidRPr="00E91207">
              <w:rPr>
                <w:color w:val="auto"/>
                <w:szCs w:val="28"/>
              </w:rPr>
              <w:t>Vispārīgo jautājumu</w:t>
            </w:r>
            <w:r w:rsidR="54FD12A0" w:rsidRPr="00E91207">
              <w:rPr>
                <w:color w:val="auto"/>
                <w:szCs w:val="28"/>
              </w:rPr>
              <w:t xml:space="preserve"> </w:t>
            </w:r>
            <w:r w:rsidR="7CF80A70" w:rsidRPr="00E91207">
              <w:rPr>
                <w:color w:val="auto"/>
                <w:szCs w:val="28"/>
              </w:rPr>
              <w:t>7</w:t>
            </w:r>
            <w:r w:rsidR="54FD12A0" w:rsidRPr="00E91207">
              <w:rPr>
                <w:color w:val="auto"/>
                <w:szCs w:val="28"/>
              </w:rPr>
              <w:t>. punkts</w:t>
            </w:r>
            <w:r w:rsidR="308A60AF" w:rsidRPr="00E91207">
              <w:rPr>
                <w:color w:val="auto"/>
                <w:szCs w:val="28"/>
              </w:rPr>
              <w:t xml:space="preserve"> </w:t>
            </w:r>
            <w:r w:rsidR="59714CF6" w:rsidRPr="00E91207">
              <w:rPr>
                <w:color w:val="auto"/>
                <w:szCs w:val="28"/>
              </w:rPr>
              <w:t xml:space="preserve">jau </w:t>
            </w:r>
            <w:r w:rsidR="59714CF6" w:rsidRPr="00E91207">
              <w:rPr>
                <w:color w:val="auto"/>
                <w:szCs w:val="28"/>
              </w:rPr>
              <w:lastRenderedPageBreak/>
              <w:t xml:space="preserve">skaidro, ka atkāpes  </w:t>
            </w:r>
            <w:r w:rsidR="2166A9A4" w:rsidRPr="00E91207">
              <w:rPr>
                <w:color w:val="auto"/>
                <w:szCs w:val="28"/>
              </w:rPr>
              <w:t>no</w:t>
            </w:r>
            <w:r w:rsidR="59714CF6" w:rsidRPr="00E91207">
              <w:rPr>
                <w:color w:val="auto"/>
                <w:szCs w:val="28"/>
              </w:rPr>
              <w:t xml:space="preserve"> vadlīniju ievērošanas pieļaujamas, ja tās ir medicīniski pamatotas un atbilst</w:t>
            </w:r>
            <w:r w:rsidR="09254CAA" w:rsidRPr="00E91207">
              <w:rPr>
                <w:color w:val="auto"/>
                <w:szCs w:val="28"/>
              </w:rPr>
              <w:t>oši dokumentētas pacienta medicīniskajā kartē.</w:t>
            </w:r>
            <w:r w:rsidR="323093F0" w:rsidRPr="00E91207">
              <w:rPr>
                <w:color w:val="auto"/>
                <w:szCs w:val="28"/>
              </w:rPr>
              <w:t xml:space="preserve"> Papildus informējam, ka NMPD izsaukum</w:t>
            </w:r>
            <w:r w:rsidR="37AF47D7" w:rsidRPr="00E91207">
              <w:rPr>
                <w:color w:val="auto"/>
                <w:szCs w:val="28"/>
              </w:rPr>
              <w:t>a gadījumā, NMPD darbojas saskaņā ar normatīvajiem aktiem un medicīniskajiem kritērijiem, un lēmums par pacienta nogādāšanu konk</w:t>
            </w:r>
            <w:r w:rsidR="534C0C47" w:rsidRPr="00E91207">
              <w:rPr>
                <w:color w:val="auto"/>
                <w:szCs w:val="28"/>
              </w:rPr>
              <w:t>rētā ārstniecības iestādē tiek pieņemts, izvērtējot pacienta veselības stāvokļa neatliekamību, nepieciešamo ārstniecības profilu, kā arī ārstniecības iestāž</w:t>
            </w:r>
            <w:r w:rsidR="7441A10B" w:rsidRPr="00E91207">
              <w:rPr>
                <w:color w:val="auto"/>
                <w:szCs w:val="28"/>
              </w:rPr>
              <w:t xml:space="preserve">u pieejamību attiecīgajā brīdī. </w:t>
            </w:r>
          </w:p>
          <w:p w14:paraId="169FEA29" w14:textId="27F464ED" w:rsidR="00F55666" w:rsidRPr="00E91207" w:rsidRDefault="00F55666" w:rsidP="7E54DF61">
            <w:pPr>
              <w:spacing w:line="259" w:lineRule="auto"/>
              <w:jc w:val="left"/>
              <w:rPr>
                <w:color w:val="auto"/>
                <w:szCs w:val="28"/>
              </w:rPr>
            </w:pPr>
          </w:p>
          <w:p w14:paraId="4C79AC8B" w14:textId="7942D7B4" w:rsidR="00F55666" w:rsidRPr="00E91207" w:rsidRDefault="66405ABF" w:rsidP="1A7EB404">
            <w:pPr>
              <w:shd w:val="clear" w:color="auto" w:fill="FFFFFF" w:themeFill="background1"/>
              <w:spacing w:after="300" w:line="259" w:lineRule="auto"/>
              <w:rPr>
                <w:color w:val="auto"/>
                <w:szCs w:val="28"/>
              </w:rPr>
            </w:pPr>
            <w:r w:rsidRPr="00E91207">
              <w:rPr>
                <w:color w:val="auto"/>
                <w:szCs w:val="28"/>
              </w:rPr>
              <w:t xml:space="preserve">Veselības ministrija norāda, ka </w:t>
            </w:r>
            <w:r w:rsidRPr="00E91207">
              <w:rPr>
                <w:strike/>
                <w:color w:val="auto"/>
                <w:szCs w:val="28"/>
              </w:rPr>
              <w:t>-</w:t>
            </w:r>
            <w:r w:rsidRPr="00E91207">
              <w:rPr>
                <w:color w:val="auto"/>
                <w:szCs w:val="28"/>
              </w:rPr>
              <w:t xml:space="preserve"> profesionālo asociāciju iesaiste pati par sevi nav uzskatāma par neatbilstošu, jo arī citos normatīvajos aktos </w:t>
            </w:r>
            <w:r w:rsidRPr="00E91207">
              <w:rPr>
                <w:color w:val="auto"/>
                <w:szCs w:val="28"/>
              </w:rPr>
              <w:lastRenderedPageBreak/>
              <w:t xml:space="preserve">tām jau ir noteikta loma un pienākumi, tostarp ārstniecības personu sertifikācijas jomā. Līdz ar to profesionālo asociāciju iesaiste veselības nozares profesionālo jautājumu izvērtēšanā nav jauns vai sistēmiski neatbilstošs risinājums. Vienlaikus noteikumu projekts profesionālajām asociācijām nedeleģē gala lēmuma pieņemšanu. Šobrīd paredzēts vien tas, ka SPKC gadījumos, kad dokumentu iesniedz persona, kas nav MVI, pārliecinās par saskaņojuma esību no attiecīgajām profesionālajām asociācijām. Tādējādi profesionālo asociāciju loma ir saistīta ar profesionālā viedokļa nodrošināšanu, nevis publiskas varas funkcijas īstenošanu vai galīga lēmuma </w:t>
            </w:r>
            <w:r w:rsidRPr="00E91207">
              <w:rPr>
                <w:color w:val="auto"/>
                <w:szCs w:val="28"/>
              </w:rPr>
              <w:lastRenderedPageBreak/>
              <w:t>pieņemšanu, kas joprojām paliek atbildīgās institūcijas kompetencē.</w:t>
            </w:r>
          </w:p>
          <w:p w14:paraId="0A37501D" w14:textId="42B3EE28" w:rsidR="00F55666" w:rsidRPr="00E91207" w:rsidRDefault="00F55666" w:rsidP="0C2C859D">
            <w:pPr>
              <w:spacing w:line="259" w:lineRule="auto"/>
              <w:jc w:val="left"/>
              <w:rPr>
                <w:color w:val="auto"/>
                <w:szCs w:val="28"/>
              </w:rPr>
            </w:pPr>
          </w:p>
        </w:tc>
      </w:tr>
      <w:tr w:rsidR="00F55666" w:rsidRPr="00E91207" w14:paraId="798DED25" w14:textId="77777777" w:rsidTr="1A7EB404">
        <w:tc>
          <w:tcPr>
            <w:tcW w:w="750" w:type="dxa"/>
            <w:shd w:val="clear" w:color="auto" w:fill="FFFFFF" w:themeFill="background1"/>
            <w:noWrap/>
            <w:tcMar>
              <w:top w:w="75" w:type="dxa"/>
              <w:left w:w="75" w:type="dxa"/>
              <w:bottom w:w="75" w:type="dxa"/>
              <w:right w:w="75" w:type="dxa"/>
            </w:tcMar>
            <w:vAlign w:val="center"/>
          </w:tcPr>
          <w:p w14:paraId="47886996" w14:textId="77777777" w:rsidR="00F55666" w:rsidRPr="00E91207" w:rsidRDefault="0009291F">
            <w:pPr>
              <w:jc w:val="center"/>
              <w:rPr>
                <w:color w:val="auto"/>
                <w:szCs w:val="28"/>
              </w:rPr>
            </w:pPr>
            <w:r w:rsidRPr="00E91207">
              <w:rPr>
                <w:color w:val="auto"/>
                <w:szCs w:val="28"/>
              </w:rPr>
              <w:lastRenderedPageBreak/>
              <w:t>2.</w:t>
            </w:r>
          </w:p>
        </w:tc>
        <w:tc>
          <w:tcPr>
            <w:tcW w:w="4055" w:type="dxa"/>
            <w:shd w:val="clear" w:color="auto" w:fill="FFFFFF" w:themeFill="background1"/>
            <w:noWrap/>
            <w:tcMar>
              <w:top w:w="75" w:type="dxa"/>
              <w:left w:w="75" w:type="dxa"/>
              <w:bottom w:w="75" w:type="dxa"/>
              <w:right w:w="75" w:type="dxa"/>
            </w:tcMar>
            <w:vAlign w:val="center"/>
          </w:tcPr>
          <w:p w14:paraId="4904C824" w14:textId="77777777" w:rsidR="00F55666" w:rsidRPr="00E91207" w:rsidRDefault="0009291F">
            <w:pPr>
              <w:jc w:val="left"/>
              <w:rPr>
                <w:color w:val="auto"/>
                <w:szCs w:val="28"/>
              </w:rPr>
            </w:pPr>
            <w:r w:rsidRPr="00E91207">
              <w:rPr>
                <w:color w:val="auto"/>
                <w:szCs w:val="28"/>
              </w:rPr>
              <w:t>Latvijas Ārstu biedrība, Māris Pļaviņš</w:t>
            </w:r>
          </w:p>
        </w:tc>
        <w:tc>
          <w:tcPr>
            <w:tcW w:w="4056" w:type="dxa"/>
            <w:shd w:val="clear" w:color="auto" w:fill="FFFFFF" w:themeFill="background1"/>
            <w:noWrap/>
            <w:tcMar>
              <w:top w:w="75" w:type="dxa"/>
              <w:left w:w="75" w:type="dxa"/>
              <w:bottom w:w="75" w:type="dxa"/>
              <w:right w:w="75" w:type="dxa"/>
            </w:tcMar>
            <w:vAlign w:val="center"/>
          </w:tcPr>
          <w:p w14:paraId="797D7436" w14:textId="77777777" w:rsidR="00F55666" w:rsidRPr="00E91207" w:rsidRDefault="0009291F">
            <w:pPr>
              <w:jc w:val="left"/>
              <w:rPr>
                <w:color w:val="auto"/>
                <w:szCs w:val="28"/>
              </w:rPr>
            </w:pPr>
            <w:r w:rsidRPr="00E91207">
              <w:rPr>
                <w:color w:val="auto"/>
                <w:szCs w:val="28"/>
              </w:rPr>
              <w:t>"Latvijas Ārstu biedrība (LĀB) ir iepazinusies ar MK noteikumu projektu "Kārtība, kādā izvērtē, reģistrē, ievieš un aktualizē klīniskās vadlīnijas, klīniskos algoritmus un klīniskos ceļus" (25-TA-2392). Projekts izstrādātajā redakcijā nav atbalstāms, jo sagatavots pavirši, neparedzot skaidrus un saprotamus mehānismus vadlīniju algoritmu un ceļu izstrādei, saskaņošanai un apstiprināšanai. </w:t>
            </w:r>
            <w:r w:rsidRPr="00E91207">
              <w:rPr>
                <w:color w:val="auto"/>
                <w:szCs w:val="28"/>
              </w:rPr>
              <w:br/>
            </w:r>
            <w:r w:rsidRPr="00E91207">
              <w:rPr>
                <w:color w:val="auto"/>
                <w:szCs w:val="28"/>
              </w:rPr>
              <w:br/>
              <w:t xml:space="preserve">Nav saprotams, ko nozīmē projekta 3. un 4. punktā ietvertās normas, ka noteiktas institūcijas izvērtē vadlīniju nepieciešamību vai aktualizāciju, kā arī nav skaidrs, kur šāds "izvērtējums" tālāk tiek izmantots. Nav pieļaujams veidot aizmiglotas un </w:t>
            </w:r>
            <w:r w:rsidRPr="00E91207">
              <w:rPr>
                <w:color w:val="auto"/>
                <w:szCs w:val="28"/>
              </w:rPr>
              <w:lastRenderedPageBreak/>
              <w:t>neskaidras tiesību normas.</w:t>
            </w:r>
            <w:r w:rsidRPr="00E91207">
              <w:rPr>
                <w:color w:val="auto"/>
                <w:szCs w:val="28"/>
              </w:rPr>
              <w:br/>
            </w:r>
            <w:r w:rsidRPr="00E91207">
              <w:rPr>
                <w:color w:val="auto"/>
                <w:szCs w:val="28"/>
              </w:rPr>
              <w:br/>
              <w:t>Projekta 20. punktā noteiktais par vadlīniju, algoritmu vai ceļu obligātu piemērošanu neatbilst Ārstniecības likuma noteikumiem. Piemēram, Ārstniecības likumā ir šāda klīnisko vadlīniju definīcija: "klīniskās vadlīnijas — pierādījumos balstīts, sistematizēts un aktualizēts ieteikumu kopums lēmumu pieņemšanas atbalstam ārstniecības personām un pacientiem par piemērotāko ārstniecību noteiktos klīniskos gadījumos".</w:t>
            </w:r>
            <w:r w:rsidRPr="00E91207">
              <w:rPr>
                <w:color w:val="auto"/>
                <w:szCs w:val="28"/>
              </w:rPr>
              <w:br/>
            </w:r>
            <w:r w:rsidRPr="00E91207">
              <w:rPr>
                <w:color w:val="auto"/>
                <w:szCs w:val="28"/>
              </w:rPr>
              <w:br/>
              <w:t>LĀB kategoriski iebilst pret mēģinājumiem veidot t.s. pavārgrāmatu medicīnu.</w:t>
            </w:r>
          </w:p>
        </w:tc>
        <w:tc>
          <w:tcPr>
            <w:tcW w:w="2205" w:type="dxa"/>
            <w:shd w:val="clear" w:color="auto" w:fill="FFFFFF" w:themeFill="background1"/>
            <w:noWrap/>
            <w:tcMar>
              <w:top w:w="75" w:type="dxa"/>
              <w:left w:w="75" w:type="dxa"/>
              <w:bottom w:w="75" w:type="dxa"/>
              <w:right w:w="75" w:type="dxa"/>
            </w:tcMar>
            <w:vAlign w:val="center"/>
          </w:tcPr>
          <w:p w14:paraId="5DAB6C7B" w14:textId="77777777" w:rsidR="00F55666" w:rsidRPr="00E91207" w:rsidRDefault="00F55666" w:rsidP="7E54DF61">
            <w:pPr>
              <w:rPr>
                <w:color w:val="auto"/>
                <w:szCs w:val="28"/>
              </w:rPr>
            </w:pPr>
          </w:p>
        </w:tc>
        <w:tc>
          <w:tcPr>
            <w:tcW w:w="3501" w:type="dxa"/>
            <w:shd w:val="clear" w:color="auto" w:fill="FFFFFF" w:themeFill="background1"/>
            <w:noWrap/>
            <w:tcMar>
              <w:top w:w="75" w:type="dxa"/>
              <w:left w:w="75" w:type="dxa"/>
              <w:bottom w:w="75" w:type="dxa"/>
              <w:right w:w="75" w:type="dxa"/>
            </w:tcMar>
            <w:vAlign w:val="center"/>
          </w:tcPr>
          <w:p w14:paraId="026CE864" w14:textId="5DC8B4C2" w:rsidR="00F55666" w:rsidRPr="00E91207" w:rsidRDefault="26E99355" w:rsidP="1A7EB404">
            <w:pPr>
              <w:spacing w:line="259" w:lineRule="auto"/>
              <w:rPr>
                <w:color w:val="auto"/>
                <w:szCs w:val="28"/>
                <w:lang w:val="en-GB"/>
              </w:rPr>
            </w:pPr>
            <w:r w:rsidRPr="00E91207">
              <w:rPr>
                <w:color w:val="auto"/>
                <w:szCs w:val="28"/>
              </w:rPr>
              <w:t xml:space="preserve">Veselības ministrija norāda, ka LĀB paustie apsvērumi pēc būtības skar ne tikai konkrēto tiesību akta projektu, bet metodiskās vadības institūta konceptu un tā darbības modeli kopumā, kas pārsniedz šī noteikumu projekta tvērumu. Metodiskās vadības institūcija savu darbu īsteno saskaņā ar Ministru kabineta 2024.gada 13.augusta noteikumiem 543 "Metodiskās vadības institūcijas </w:t>
            </w:r>
            <w:r w:rsidR="1E8382B1" w:rsidRPr="00E91207">
              <w:rPr>
                <w:color w:val="auto"/>
                <w:szCs w:val="28"/>
              </w:rPr>
              <w:t>noteikumi</w:t>
            </w:r>
            <w:r w:rsidRPr="00E91207">
              <w:rPr>
                <w:color w:val="auto"/>
                <w:szCs w:val="28"/>
              </w:rPr>
              <w:t xml:space="preserve">", atbilstoši šiem noteikumiem 6.1. apakšpunkts norāda, ka metodiskās vadības institūcijai ir tiesības normatīvajos aktos noteiktajā </w:t>
            </w:r>
            <w:r w:rsidRPr="00E91207">
              <w:rPr>
                <w:color w:val="auto"/>
                <w:szCs w:val="28"/>
              </w:rPr>
              <w:lastRenderedPageBreak/>
              <w:t xml:space="preserve">kārtībā izvērtēt un aktualizēt klīniskās vadlīnijas, klīniskos algoritmus un klīniskos ceļus savas kompetences ietvaros, savukārt 7.2. apakšpunkts paredz pienākumu izstrādāt vienotos profilakses, diagnostikas un , ārstēšanas un tās pēctecības principus un veicināt to ieviešanu, bet 7.10. apakšpunkts nosaka pienākumu sadarboties ar ārstniecības personu profesionālajām organizācijām. Veselības ministrija norāda, ka metodiskās vadības institūcijas īsteno normatīvos aktos noteiktās funkcijas metodiskās koordinācijas un kvalitātes pārraudzības ietvaros, bet nedarbojas kā profesionālās darbības regulējoša institūcija. Attiecībā uz paustajām bažām par profesionālo asociāciju </w:t>
            </w:r>
            <w:r w:rsidRPr="00E91207">
              <w:rPr>
                <w:color w:val="auto"/>
                <w:szCs w:val="28"/>
              </w:rPr>
              <w:lastRenderedPageBreak/>
              <w:t>tiesībām izstrādāt klīniskās vadlīnijas vai algoritmus, norādām, ka spēkā esošais normatīvais regulējums neparedz profesionālo organizāciju tiešu ierobežojumu izstrādāt nozares dokumentus savas kompetences</w:t>
            </w:r>
          </w:p>
          <w:p w14:paraId="0E3997F9" w14:textId="7F6DEF86" w:rsidR="00F55666" w:rsidRPr="00E91207" w:rsidRDefault="26E99355" w:rsidP="1A7EB404">
            <w:pPr>
              <w:spacing w:line="259" w:lineRule="auto"/>
              <w:rPr>
                <w:color w:val="auto"/>
                <w:szCs w:val="28"/>
              </w:rPr>
            </w:pPr>
            <w:r w:rsidRPr="00E91207">
              <w:rPr>
                <w:color w:val="auto"/>
                <w:szCs w:val="28"/>
              </w:rPr>
              <w:t xml:space="preserve">ietvaros. Vienlaikus normatīvais regulējums paredz, ka klīnisko vadlīniju izvērtēšana un aktualizācijas koordinēšana metodiskās vadības jomā ir metodiskās vadības institūcijas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w:t>
            </w:r>
            <w:r w:rsidRPr="00E91207">
              <w:rPr>
                <w:color w:val="auto"/>
                <w:szCs w:val="28"/>
              </w:rPr>
              <w:lastRenderedPageBreak/>
              <w:t xml:space="preserve">normatīvais regulējums esošais normatīvais regulējums neparedz profesionālo organizāciju tiešu ierobežojumu izstrādāt nozares dokumentus savas kompetences ietvaros. Kā norādīts jau iepriekš, normatīvais regulējums jau šobrīd ietver pienākumu metodisko vadību institūcijām nodrošināt profesionālo asociāciju un citu nozares pārstāvju iesaisti. Tādējādi secināms, ka metodisko vadības institūciju  darbības modelis ir balstīts uz ekspertu piesaisti un sadarbību, nevis centralizētu un izolētu lēmumu pieņemšanu. Noslēgumā uzsveram, ka metodisko vadības institūciju funkcija ir metodiskā koordinācija un kvalitātes pārraudzība, nodrošinot pierādījumos </w:t>
            </w:r>
            <w:r w:rsidRPr="00E91207">
              <w:rPr>
                <w:color w:val="auto"/>
                <w:szCs w:val="28"/>
              </w:rPr>
              <w:lastRenderedPageBreak/>
              <w:t xml:space="preserve">balstītu un starpdisciplināru pieeju. Profesionālo asociāciju iesaiste un sadarbība ir neatņemama šīs funkcijas sastāvdaļa.  Ņemot vērā minēto, ministrija neuzskata par pamatotu mainīt 3. un 4. punktā minēto, jo ārstu profesionālām organizācijas, ārstniecības profesionāļi var sadarboties ar metodiskās vadības institūciju un izstrādāt klīniskās vadlīnijas, klīnisko algoritmus un klīniskos ceļus.    </w:t>
            </w:r>
          </w:p>
          <w:p w14:paraId="33F1D54F" w14:textId="61360E5A" w:rsidR="1A7EB404" w:rsidRPr="00E91207" w:rsidRDefault="1A7EB404" w:rsidP="1A7EB404">
            <w:pPr>
              <w:spacing w:line="259" w:lineRule="auto"/>
              <w:rPr>
                <w:color w:val="auto"/>
                <w:szCs w:val="28"/>
              </w:rPr>
            </w:pPr>
          </w:p>
          <w:p w14:paraId="7FB38D9E" w14:textId="041C6820" w:rsidR="7B1ED028" w:rsidRPr="00E91207" w:rsidRDefault="7B1ED028" w:rsidP="1A7EB404">
            <w:pPr>
              <w:spacing w:line="259" w:lineRule="auto"/>
              <w:rPr>
                <w:color w:val="auto"/>
                <w:szCs w:val="28"/>
              </w:rPr>
            </w:pPr>
            <w:r w:rsidRPr="00E91207">
              <w:rPr>
                <w:color w:val="auto"/>
                <w:szCs w:val="28"/>
                <w:lang w:val="en-GB"/>
              </w:rPr>
              <w:t xml:space="preserve">Noteikumu projekta </w:t>
            </w:r>
            <w:r w:rsidR="009E0402" w:rsidRPr="00E91207">
              <w:rPr>
                <w:color w:val="auto"/>
                <w:szCs w:val="28"/>
                <w:lang w:val="en-GB"/>
              </w:rPr>
              <w:t>20. punkts</w:t>
            </w:r>
            <w:r w:rsidRPr="00E91207">
              <w:rPr>
                <w:color w:val="auto"/>
                <w:szCs w:val="28"/>
                <w:lang w:val="en-GB"/>
              </w:rPr>
              <w:t xml:space="preserve"> svītrots un papildināts ar </w:t>
            </w:r>
            <w:r w:rsidR="009E0402" w:rsidRPr="00E91207">
              <w:rPr>
                <w:color w:val="auto"/>
                <w:szCs w:val="28"/>
                <w:lang w:val="en-GB"/>
              </w:rPr>
              <w:t>7. punktu</w:t>
            </w:r>
            <w:r w:rsidRPr="00E91207">
              <w:rPr>
                <w:color w:val="auto"/>
                <w:szCs w:val="28"/>
                <w:lang w:val="en-GB"/>
              </w:rPr>
              <w:t xml:space="preserve"> "</w:t>
            </w:r>
            <w:r w:rsidR="4FA9D531" w:rsidRPr="00E91207">
              <w:rPr>
                <w:color w:val="auto"/>
                <w:szCs w:val="28"/>
              </w:rPr>
              <w:t xml:space="preserve"> Ārstniecības iestādes nodrošina klīnisko vadlīniju, klīnisko algoritmu un klīnisko ceļu piemērošanu ārstniecības procesā. Atkāpes no šajā punktā minēto klīnisko vadlīniju, klīnisko algoritmu un klīnisko ceļu </w:t>
            </w:r>
            <w:r w:rsidR="4FA9D531" w:rsidRPr="00E91207">
              <w:rPr>
                <w:color w:val="auto"/>
                <w:szCs w:val="28"/>
              </w:rPr>
              <w:lastRenderedPageBreak/>
              <w:t>piemērošanas ārstniecības procesā ir pieļaujamas, ja tās ir medicīniski pamatotas un atbilstoši dokumentētas pacienta medicīniskajā dokumentācijā.</w:t>
            </w:r>
            <w:r w:rsidR="4FA9D531" w:rsidRPr="00E91207">
              <w:rPr>
                <w:color w:val="auto"/>
                <w:szCs w:val="28"/>
                <w:lang w:val="en-GB"/>
              </w:rPr>
              <w:t xml:space="preserve"> </w:t>
            </w:r>
            <w:r w:rsidRPr="00E91207">
              <w:rPr>
                <w:color w:val="auto"/>
                <w:szCs w:val="28"/>
                <w:lang w:val="en-GB"/>
              </w:rPr>
              <w:t>"</w:t>
            </w:r>
            <w:r w:rsidR="52BC29CB" w:rsidRPr="00E91207">
              <w:rPr>
                <w:color w:val="auto"/>
                <w:szCs w:val="28"/>
                <w:lang w:val="en-GB"/>
              </w:rPr>
              <w:t xml:space="preserve"> Veselības ministrija norāda,ka </w:t>
            </w:r>
            <w:r w:rsidR="2689B911" w:rsidRPr="00E91207">
              <w:rPr>
                <w:color w:val="auto"/>
                <w:szCs w:val="28"/>
              </w:rPr>
              <w:t>ĀL 9.</w:t>
            </w:r>
            <w:r w:rsidR="2689B911" w:rsidRPr="00E91207">
              <w:rPr>
                <w:color w:val="auto"/>
                <w:szCs w:val="28"/>
                <w:vertAlign w:val="superscript"/>
              </w:rPr>
              <w:t>1</w:t>
            </w:r>
            <w:r w:rsidR="2689B911" w:rsidRPr="00E91207">
              <w:rPr>
                <w:color w:val="auto"/>
                <w:szCs w:val="28"/>
              </w:rPr>
              <w:t>. pirmā daļa paredz, ka ārstniecību veic atbilstoši klīniskajam vadlīnijām, klīniskajiem algoritmiem un klīniskajiem ceļiem vai ārstniecībā izmantojamu metožu un zāļu lietošanas drošības un ārstēšanas efektivitātes  novērtējumam.</w:t>
            </w:r>
          </w:p>
          <w:p w14:paraId="403B8E38" w14:textId="2930B8CF" w:rsidR="1A7EB404" w:rsidRPr="00E91207" w:rsidRDefault="1A7EB404" w:rsidP="1A7EB404">
            <w:pPr>
              <w:spacing w:line="259" w:lineRule="auto"/>
              <w:rPr>
                <w:color w:val="auto"/>
                <w:szCs w:val="28"/>
              </w:rPr>
            </w:pPr>
          </w:p>
          <w:p w14:paraId="55E89AC1" w14:textId="344B75E3" w:rsidR="44940CC2" w:rsidRPr="00E91207" w:rsidRDefault="44940CC2" w:rsidP="1A7EB404">
            <w:pPr>
              <w:spacing w:line="259" w:lineRule="auto"/>
              <w:rPr>
                <w:color w:val="auto"/>
                <w:szCs w:val="28"/>
              </w:rPr>
            </w:pPr>
            <w:r w:rsidRPr="00E91207">
              <w:rPr>
                <w:color w:val="auto"/>
                <w:szCs w:val="28"/>
              </w:rPr>
              <w:t>Atbildot uz norādi par "medicīnisko pavārgrāmatu", norādām, ka noteikumu projekts nav vērs</w:t>
            </w:r>
            <w:r w:rsidR="44B60754" w:rsidRPr="00E91207">
              <w:rPr>
                <w:color w:val="auto"/>
                <w:szCs w:val="28"/>
              </w:rPr>
              <w:t>ts</w:t>
            </w:r>
            <w:r w:rsidRPr="00E91207">
              <w:rPr>
                <w:color w:val="auto"/>
                <w:szCs w:val="28"/>
              </w:rPr>
              <w:t xml:space="preserve"> uz klīnisko vadlīniju satura detalizētu izstrādi</w:t>
            </w:r>
            <w:r w:rsidR="0F255543" w:rsidRPr="00E91207">
              <w:rPr>
                <w:color w:val="auto"/>
                <w:szCs w:val="28"/>
              </w:rPr>
              <w:t xml:space="preserve">, bet gan projekta mērķis ir: noteikt vienotu kārtību vadlīniju izstrādei un aktualizēšanai, nodrošināt to </w:t>
            </w:r>
            <w:r w:rsidR="0F255543" w:rsidRPr="00E91207">
              <w:rPr>
                <w:color w:val="auto"/>
                <w:szCs w:val="28"/>
              </w:rPr>
              <w:lastRenderedPageBreak/>
              <w:t xml:space="preserve">kvalitātes izvērtēšanu un </w:t>
            </w:r>
            <w:r w:rsidR="22B7C2FB" w:rsidRPr="00E91207">
              <w:rPr>
                <w:color w:val="auto"/>
                <w:szCs w:val="28"/>
              </w:rPr>
              <w:t>caurskatāmību, precizēt un reglamentēt reģistrācijas un ieviešanas procesu. Detalizēts medicīniskais saturs arī turpmāk būs profesionāļu</w:t>
            </w:r>
            <w:r w:rsidR="6B41A00C" w:rsidRPr="00E91207">
              <w:rPr>
                <w:color w:val="auto"/>
                <w:szCs w:val="28"/>
              </w:rPr>
              <w:t xml:space="preserve"> kompetencē, ievērojot pierādījumos balstītas medicīnas principus. </w:t>
            </w:r>
          </w:p>
          <w:p w14:paraId="02EB378F" w14:textId="6ACFFB9F" w:rsidR="00F55666" w:rsidRPr="00E91207" w:rsidRDefault="00F55666" w:rsidP="1A7EB404">
            <w:pPr>
              <w:rPr>
                <w:color w:val="auto"/>
                <w:szCs w:val="28"/>
              </w:rPr>
            </w:pPr>
          </w:p>
        </w:tc>
      </w:tr>
      <w:tr w:rsidR="00F55666" w:rsidRPr="00E91207" w14:paraId="534EFB0C" w14:textId="77777777" w:rsidTr="1A7EB404">
        <w:tc>
          <w:tcPr>
            <w:tcW w:w="750" w:type="dxa"/>
            <w:shd w:val="clear" w:color="auto" w:fill="FFFFFF" w:themeFill="background1"/>
            <w:noWrap/>
            <w:tcMar>
              <w:top w:w="75" w:type="dxa"/>
              <w:left w:w="75" w:type="dxa"/>
              <w:bottom w:w="75" w:type="dxa"/>
              <w:right w:w="75" w:type="dxa"/>
            </w:tcMar>
            <w:vAlign w:val="center"/>
          </w:tcPr>
          <w:p w14:paraId="1F75A9DD" w14:textId="77777777" w:rsidR="00F55666" w:rsidRPr="00E91207" w:rsidRDefault="0009291F">
            <w:pPr>
              <w:jc w:val="center"/>
              <w:rPr>
                <w:color w:val="auto"/>
                <w:szCs w:val="28"/>
              </w:rPr>
            </w:pPr>
            <w:r w:rsidRPr="00E91207">
              <w:rPr>
                <w:color w:val="auto"/>
                <w:szCs w:val="28"/>
              </w:rPr>
              <w:lastRenderedPageBreak/>
              <w:t>3.</w:t>
            </w:r>
          </w:p>
        </w:tc>
        <w:tc>
          <w:tcPr>
            <w:tcW w:w="4055" w:type="dxa"/>
            <w:shd w:val="clear" w:color="auto" w:fill="FFFFFF" w:themeFill="background1"/>
            <w:noWrap/>
            <w:tcMar>
              <w:top w:w="75" w:type="dxa"/>
              <w:left w:w="75" w:type="dxa"/>
              <w:bottom w:w="75" w:type="dxa"/>
              <w:right w:w="75" w:type="dxa"/>
            </w:tcMar>
            <w:vAlign w:val="center"/>
          </w:tcPr>
          <w:p w14:paraId="1C973BE9" w14:textId="77777777" w:rsidR="00F55666" w:rsidRPr="00E91207" w:rsidRDefault="0FBE72E1">
            <w:pPr>
              <w:jc w:val="left"/>
              <w:rPr>
                <w:color w:val="auto"/>
                <w:szCs w:val="28"/>
              </w:rPr>
            </w:pPr>
            <w:r w:rsidRPr="00E91207">
              <w:rPr>
                <w:color w:val="auto"/>
                <w:szCs w:val="28"/>
              </w:rPr>
              <w:t>Latvijas Ģimenes ārstu asociācija</w:t>
            </w:r>
          </w:p>
        </w:tc>
        <w:tc>
          <w:tcPr>
            <w:tcW w:w="4056" w:type="dxa"/>
            <w:shd w:val="clear" w:color="auto" w:fill="FFFFFF" w:themeFill="background1"/>
            <w:noWrap/>
            <w:tcMar>
              <w:top w:w="75" w:type="dxa"/>
              <w:left w:w="75" w:type="dxa"/>
              <w:bottom w:w="75" w:type="dxa"/>
              <w:right w:w="75" w:type="dxa"/>
            </w:tcMar>
            <w:vAlign w:val="center"/>
          </w:tcPr>
          <w:p w14:paraId="0B2DC70B" w14:textId="77777777" w:rsidR="00F55666" w:rsidRPr="00E91207" w:rsidRDefault="0009291F">
            <w:pPr>
              <w:jc w:val="left"/>
              <w:rPr>
                <w:color w:val="auto"/>
                <w:szCs w:val="28"/>
              </w:rPr>
            </w:pPr>
            <w:r w:rsidRPr="00E91207">
              <w:rPr>
                <w:color w:val="auto"/>
                <w:szCs w:val="28"/>
              </w:rPr>
              <w:t>Biedrība "Latvijas Ģimenes ārstu asociācija" (turpmāk-LĢĀA)  ir izskatījusi tiesību akta projektu Nr. 25-TA-2392 “Kārtība, kādā izvērtē, reģistrē, ievieš un aktualizē klīniskās vadlīnijas, klīniskos algoritmus un klīniskos ceļus” (turpmāk – Klīnisko vadlīniju noteikumi) un izvērtējusi tajā plānoto tiesību normu ietekmi uz ģimenes ārsta profesionālo un LĢĀA kā ārstu profesionālas organizācijas darbību.</w:t>
            </w:r>
            <w:r w:rsidRPr="00E91207">
              <w:rPr>
                <w:color w:val="auto"/>
                <w:szCs w:val="28"/>
              </w:rPr>
              <w:br/>
            </w:r>
            <w:r w:rsidRPr="00E91207">
              <w:rPr>
                <w:color w:val="auto"/>
                <w:szCs w:val="28"/>
              </w:rPr>
              <w:br/>
              <w:t xml:space="preserve">Izstrādātais tiesību aktu projekts Nr. 25-TA-2392 un tam </w:t>
            </w:r>
            <w:r w:rsidRPr="00E91207">
              <w:rPr>
                <w:color w:val="auto"/>
                <w:szCs w:val="28"/>
              </w:rPr>
              <w:lastRenderedPageBreak/>
              <w:t>pievienotā anotācija satur būtiskus trūkumus. Tāpēc projektā ietveramās normas ir jāpapildina, bet anotācijā ir jānorāda visa tiesību akta projektam obligātā informācija. </w:t>
            </w:r>
            <w:r w:rsidRPr="00E91207">
              <w:rPr>
                <w:color w:val="auto"/>
                <w:szCs w:val="28"/>
              </w:rPr>
              <w:br/>
            </w:r>
            <w:r w:rsidRPr="00E91207">
              <w:rPr>
                <w:color w:val="auto"/>
                <w:szCs w:val="28"/>
              </w:rPr>
              <w:br/>
              <w:t xml:space="preserve">Tiesību akta normās, arī 1. un 2.punktā, trūkst skaidri un nepārprotami izteikti valsts iestāžu, ārstniecības personu profesionālo biedrību, ārstniecības iestāžu un ārstniecības personu pārstāvošu institūciju pienākumi un tiesības klīnisko vadlīniju, klīnisko algoritmu un klīnisko ceļu (turpmāk visi kopā tiks saukti – klīniskās vadlīnijas) izvērtēšanas, ieviešanas un aktualizācijas procesā. Nav pietiekami 2.punkta normā norādīt, ka šo Ministru kabineta noteikumu mērķis ir veicināt vienotu vadlīniju ieviešanu valstī. Jebkurai tiesību normai, lai nodrošinātu, ka tai noteiktais mērķis tiek sasniegts, ir jānorāda tādi personu pienākumi un </w:t>
            </w:r>
            <w:r w:rsidRPr="00E91207">
              <w:rPr>
                <w:color w:val="auto"/>
                <w:szCs w:val="28"/>
              </w:rPr>
              <w:lastRenderedPageBreak/>
              <w:t>tiesības, kas īstenojamas, lai regulējumā noteiktās darbību veiktu un mērķi sasniegtu. Tāpēc noteikumu normas kopumā, arī to 2.punktā norādītais mērķis, ir jāpārstrādā un jākonkretizē. Tiesību akta projekts jāpapilda ar jaunām normām, nosakot visu klīnisko vadlīniju darbībā tieši iesaistīto personu tiesības piedalīties un līdzdarboties klīnisko vadlīniju izveides un ieviešanas procesā.</w:t>
            </w:r>
            <w:r w:rsidRPr="00E91207">
              <w:rPr>
                <w:color w:val="auto"/>
                <w:szCs w:val="28"/>
              </w:rPr>
              <w:br/>
            </w:r>
            <w:r w:rsidRPr="00E91207">
              <w:rPr>
                <w:color w:val="auto"/>
                <w:szCs w:val="28"/>
              </w:rPr>
              <w:br/>
              <w:t>Pilnībā nepamatoti ir Ministru kabineta noteikumu 3.punktā noteikt, ka tajās veselības aprūpes jomās, kurās ir izveidotas metodiskās vadības institūcijas, arī ģimenes medicīnas jomā, klīniskās vadlīnijas, klīniskos algoritmus un klīniskos ceļus izvērtē vai aktualizē metodiskās vadības institūcija. Tāpēc LĢĀA pieprasa šo normu  no projekta svītrot.</w:t>
            </w:r>
            <w:r w:rsidRPr="00E91207">
              <w:rPr>
                <w:color w:val="auto"/>
                <w:szCs w:val="28"/>
              </w:rPr>
              <w:br/>
            </w:r>
            <w:r w:rsidRPr="00E91207">
              <w:rPr>
                <w:color w:val="auto"/>
                <w:szCs w:val="28"/>
              </w:rPr>
              <w:br/>
              <w:t xml:space="preserve">Pirmkārt, LĢĀA kā lielākajai ģimenes ārstus apvienojošai </w:t>
            </w:r>
            <w:r w:rsidRPr="00E91207">
              <w:rPr>
                <w:color w:val="auto"/>
                <w:szCs w:val="28"/>
              </w:rPr>
              <w:lastRenderedPageBreak/>
              <w:t>profesionālai organizācijai un arī arodbiedrībai, ir tiesības spriest un izvērtēt visus ģimenes ārstu profesionālās darbības jautājumus, arī klīniskās vadlīnijas, algoritmus un pacientu ceļus. Ministru kabinets nedrīkst ierobežot LĢĀA tiesības izvērtēt klīnisko vadlīniju nepieciešamību, saturu un aktualizāciju.</w:t>
            </w:r>
            <w:r w:rsidRPr="00E91207">
              <w:rPr>
                <w:color w:val="auto"/>
                <w:szCs w:val="28"/>
              </w:rPr>
              <w:br/>
            </w:r>
            <w:r w:rsidRPr="00E91207">
              <w:rPr>
                <w:color w:val="auto"/>
                <w:szCs w:val="28"/>
              </w:rPr>
              <w:br/>
              <w:t>Otrkārt, nav pieļaujams, ka Ministru kabineta noteikumos, pirms nav izveidota neatkarīga un profesionāla metodiskās vadības institūcija ģimenes medicīnas jomā, tiktu noteikts, ka neprofesionālai institūcijai kāda ir RSU MVI ģimenes medicīnā, ir tiesības izvērtēt, veidot un aktualizēt klīniskās vadlīnijas, algoritmus un pacientu ceļus ģimenes medicīnas jomā. </w:t>
            </w:r>
            <w:r w:rsidRPr="00E91207">
              <w:rPr>
                <w:color w:val="auto"/>
                <w:szCs w:val="28"/>
              </w:rPr>
              <w:br/>
            </w:r>
            <w:r w:rsidRPr="00E91207">
              <w:rPr>
                <w:color w:val="auto"/>
                <w:szCs w:val="28"/>
              </w:rPr>
              <w:br/>
              <w:t xml:space="preserve">LĢĀA kā profesionālai ārstniecības personu organizācijai ir tiesības gan vērtēt pastāvošās klīniskās vadlīnijas, algoritmus un </w:t>
            </w:r>
            <w:r w:rsidRPr="00E91207">
              <w:rPr>
                <w:color w:val="auto"/>
                <w:szCs w:val="28"/>
              </w:rPr>
              <w:lastRenderedPageBreak/>
              <w:t>klīniskos ceļus, gan tos aktualizēt gadījumos, ja tas ir profesionāli pamatoti un nepieciešami. LĢĀA aicina Veselības ministriju sarunās ar LĢĀA izstrādāt jaunas tiesību normas MK noteikumu projektam par klīnisko vadlīniju izstrādi, kurās noteiktu ģimenes medicīnā kompetentu personu tiesības veidot klīnisko vadlīniju projektus, tos vērtēt un aktualizēt. </w:t>
            </w:r>
            <w:r w:rsidRPr="00E91207">
              <w:rPr>
                <w:color w:val="auto"/>
                <w:szCs w:val="28"/>
              </w:rPr>
              <w:br/>
            </w:r>
            <w:r w:rsidRPr="00E91207">
              <w:rPr>
                <w:color w:val="auto"/>
                <w:szCs w:val="28"/>
              </w:rPr>
              <w:br/>
              <w:t>MK noteikumu projektā, 4.punktā, nepamatoti ir iekļauta normas,  kas paredz, ka tikai tajās veselības aprūpes jomās, kurās nav izveidotas metodiskās vadības institūcijas, klīniskās vadlīnijas, klīniskos algoritmus un klīniskos ceļus ir tiesīgas izvērtēt vai aktualizēt ārstniecības personu profesionālās organizācijas, ārstniecības iestādes un augstskolas.</w:t>
            </w:r>
            <w:r w:rsidRPr="00E91207">
              <w:rPr>
                <w:color w:val="auto"/>
                <w:szCs w:val="28"/>
              </w:rPr>
              <w:br/>
              <w:t xml:space="preserve">Dažādu nozaru ārstniecības speciālistiem, arī ģimenes ārstiem kā profesionāļiem ģimenes medicīnā, ir jānodrošina tiesības </w:t>
            </w:r>
            <w:r w:rsidRPr="00E91207">
              <w:rPr>
                <w:color w:val="auto"/>
                <w:szCs w:val="28"/>
              </w:rPr>
              <w:lastRenderedPageBreak/>
              <w:t>vērtēt klīniskās vadlīnijas un ierosināt procesu to pilnveidei. Gadījumos, kad kādam ārstam vai ārstu grupai ir pamatoti iemesli, kuru dēļ šo profesionāļu ieskatā vadlīnijas ir jāizveido, jāgroza vai jāaktualizē, tas ir jāļauj darīt. MK noteikumos nedrīkst paredzēt ierobežojumus ārstiem ierosināt un vest procesus, kas nepieciešami profesionālai un augsti kvalitatīvai klīniskai darbībai ārstniecībā.</w:t>
            </w:r>
            <w:r w:rsidRPr="00E91207">
              <w:rPr>
                <w:color w:val="auto"/>
                <w:szCs w:val="28"/>
              </w:rPr>
              <w:br/>
            </w:r>
            <w:r w:rsidRPr="00E91207">
              <w:rPr>
                <w:color w:val="auto"/>
                <w:szCs w:val="28"/>
              </w:rPr>
              <w:br/>
              <w:t xml:space="preserve">MK noteikumu normu projekta normas nekādā mērā nenosaka rīcību gadījumos, kad klīniskās vadlīnijas ir nepieciešamas un tiek izstrādātas ne tikai vienas specialitātes ārstniecības personu darbībai, piemēram, ģimenes ārstiem, bet tās nosaka vairāku saistītu ārstu, māsu un citu personu sadarbību, viena pacienta klīniskajā ceļā. Šādu klīnisku vadlīniju izstrādei un ieviešanai obligāta ir starpdisciplināra un multidisciplināra sadarbība. Tāpēc MK noteikumu normās ir jānosaka </w:t>
            </w:r>
            <w:r w:rsidRPr="00E91207">
              <w:rPr>
                <w:color w:val="auto"/>
                <w:szCs w:val="28"/>
              </w:rPr>
              <w:lastRenderedPageBreak/>
              <w:t>kā tieši tiek noteikts vai klīniskās vadlīnijas ir tikai kādā vienā un konkrētā ārstniecības personu specialitātes jomā, vai tām ir starpdisciplinārs vai multidisciplinārs raksturs.</w:t>
            </w:r>
            <w:r w:rsidRPr="00E91207">
              <w:rPr>
                <w:color w:val="auto"/>
                <w:szCs w:val="28"/>
              </w:rPr>
              <w:br/>
            </w:r>
            <w:r w:rsidRPr="00E91207">
              <w:rPr>
                <w:color w:val="auto"/>
                <w:szCs w:val="28"/>
              </w:rPr>
              <w:br/>
              <w:t>Gadījumos, kad klīniskās vadlīnijas nosaka vairāku ārstniecības personu specialitāšu darbību, MK noteikumu normās ir jāparedz kā klīnisko vadlīniju izstrādē, vērtēšanā un aktualizācijā līdzdarbojas visu iesaistītie speciālistu pārstāvji – profesionālās organizācijas un citas institūcijas.</w:t>
            </w:r>
            <w:r w:rsidRPr="00E91207">
              <w:rPr>
                <w:color w:val="auto"/>
                <w:szCs w:val="28"/>
              </w:rPr>
              <w:br/>
            </w:r>
            <w:r w:rsidRPr="00E91207">
              <w:rPr>
                <w:color w:val="auto"/>
                <w:szCs w:val="28"/>
              </w:rPr>
              <w:br/>
              <w:t xml:space="preserve">MK noteikumu II- IV nodaļas normas, kuras nosaka klīnisko vadlīniju reģistrācijas kārtību, neparedz, ka gadījumos, kad tās ir izstrādājusi kāda metodiskās vadības institūcija, tās ir jāsaskaņo ar attiecīgajām ārstniecības personu profesionālajām asociācijām. Saskaņošanas prasība, 7.4., 9.2., 11.2. punktos ir </w:t>
            </w:r>
            <w:r w:rsidRPr="00E91207">
              <w:rPr>
                <w:color w:val="auto"/>
                <w:szCs w:val="28"/>
              </w:rPr>
              <w:lastRenderedPageBreak/>
              <w:t>noteikta tikai tad, ja vadlīnijas iesniedz kāda ārstniecības iestāde vai augstskola, bet ne  metodiskās vadības institūcija, kura iesniegtu tikai 7.3. punkta klīnisko vadlīniju projekta izstrādes procesa aprakstu, kas ir fomāls, bezsaturisks regulējums.  Šādu regulējumu nedrīkst pieņemt.</w:t>
            </w:r>
            <w:r w:rsidRPr="00E91207">
              <w:rPr>
                <w:color w:val="auto"/>
                <w:szCs w:val="28"/>
              </w:rPr>
              <w:br/>
            </w:r>
            <w:r w:rsidRPr="00E91207">
              <w:rPr>
                <w:color w:val="auto"/>
                <w:szCs w:val="28"/>
              </w:rPr>
              <w:br/>
              <w:t xml:space="preserve">Nav pieļaujams, ka klīniskās vadlīnijas kāda valsts institūcija, arī metodiskās vadības institūcija, drīkst izstrādāt un iesniegt, pieprasot ārstniecības personām savā darbā tās ievērot, bez nozares profesionāļu un profesionālo asociāciju tiešas iesaistes visā vadlīniju izstrādes un pieņemšanas procesā. </w:t>
            </w:r>
            <w:r w:rsidRPr="00E91207">
              <w:rPr>
                <w:b/>
                <w:color w:val="auto"/>
                <w:szCs w:val="28"/>
              </w:rPr>
              <w:t>Cieņa pret ārstniecības personām un to profesionālo darbību ir neatņemama demokrātiskas valsts vērtība</w:t>
            </w:r>
            <w:r w:rsidRPr="00E91207">
              <w:rPr>
                <w:color w:val="auto"/>
                <w:szCs w:val="28"/>
              </w:rPr>
              <w:t xml:space="preserve">. Tāpēc organizējot un vadot ārstniecības darbu, arī klīnisko vadlīniju izstrādes un pieņemšanas procesā, pilnvērtīga ārstu un ārstus pārstāvošo organizāciju sadarbība </w:t>
            </w:r>
            <w:r w:rsidRPr="00E91207">
              <w:rPr>
                <w:color w:val="auto"/>
                <w:szCs w:val="28"/>
              </w:rPr>
              <w:lastRenderedPageBreak/>
              <w:t>un līdzdarbība ir obligāta un nepieciešama.  LĢĀA strikti iebilst pret esošo noteikumu normu virzīšanu, jo tajās ietvertais regulējums paredz metodiskās vadības institūcijas tiesības izmantot varas pozīciju. MK noteikumu norma paredz ārstu brīvības tiesību ierobežojumu pastāvīgi un koleģiāli noteikt savas nozares profesionālās darbības ietvaru.</w:t>
            </w:r>
            <w:r w:rsidRPr="00E91207">
              <w:rPr>
                <w:color w:val="auto"/>
                <w:szCs w:val="28"/>
              </w:rPr>
              <w:br/>
            </w:r>
            <w:r w:rsidRPr="00E91207">
              <w:rPr>
                <w:color w:val="auto"/>
                <w:szCs w:val="28"/>
              </w:rPr>
              <w:br/>
              <w:t xml:space="preserve">MK noteikumu 7.4., 9.2., 11.2. punktos ir noteikta prasība augstskolām un ārstniecības iestādēm, ja tās izstrādā un iesniedz apstiprināšanai vadlīnijas, saskaņot projektu ar attiecīgu profesionālo asociāciju. LĢĀA iebilst šādam noteikumam vairāk nozīmīgu apsvērumu dēļ. Bez profesionālo asociāciju līdzdarbības nav pieļaujama tādu vadlīniju izstrāde, kas regulētu konkrētās jomas speciālistus. Tāpēc profesionālās asociācijas līdzdarbība ir jānodrošina jau pēc </w:t>
            </w:r>
            <w:r w:rsidRPr="00E91207">
              <w:rPr>
                <w:color w:val="auto"/>
                <w:szCs w:val="28"/>
              </w:rPr>
              <w:lastRenderedPageBreak/>
              <w:t>iespējas ātrāk, uzsākot klīnisko vadlīniju izstrādes vai aktualizācijas procesu. Viss ieguldītais darbs vadlīniju izstrādē, izvērtēšanā un saskaņošanā ir apmaksājams visiem iesaistītajiem. Šāds darbs ir jāapmaksā tam, kas darba rezultātu – viedokli un, iespējams, saskaņojumu, vēlas saņemt vai tam, kas šādu prasību ir noteicis.</w:t>
            </w:r>
            <w:r w:rsidRPr="00E91207">
              <w:rPr>
                <w:color w:val="auto"/>
                <w:szCs w:val="28"/>
              </w:rPr>
              <w:br/>
            </w:r>
            <w:r w:rsidRPr="00E91207">
              <w:rPr>
                <w:color w:val="auto"/>
                <w:szCs w:val="28"/>
              </w:rPr>
              <w:br/>
              <w:t>MK noteikumu V daļā iztrūkst normas, kuras paredzētu kā var iepazīties ar iesniegto klīnisko vadlīniju projektiem, izteikt par tiem savus priekšlikumus un iebildumus.</w:t>
            </w:r>
            <w:r w:rsidRPr="00E91207">
              <w:rPr>
                <w:color w:val="auto"/>
                <w:szCs w:val="28"/>
              </w:rPr>
              <w:br/>
            </w:r>
            <w:r w:rsidRPr="00E91207">
              <w:rPr>
                <w:color w:val="auto"/>
                <w:szCs w:val="28"/>
              </w:rPr>
              <w:br/>
              <w:t xml:space="preserve">MK noteikumos, īpaši to 19. punkta normā, ir norādīts, ka klīniskās vadlīnijas ievieš, tātad arī izpilda katra konkrēta pacienta ārstniecībā, atbilstoši ārstniecības iestādes finansiālajām iespējām. Šāda nosacījuma ieviešana MK noteikumos apdraud pacienta tiesības saņemt kvalitatīvu, drošu </w:t>
            </w:r>
            <w:r w:rsidRPr="00E91207">
              <w:rPr>
                <w:color w:val="auto"/>
                <w:szCs w:val="28"/>
              </w:rPr>
              <w:lastRenderedPageBreak/>
              <w:t xml:space="preserve">un pierādījumos balstītu ārstēšanu. MK noteikumu normās nedrīkst paredzēt ārstniecības iestāžu un personu tiesības nesniegt kvalitatīvu ārstniecību tikai tāpēc, ka ārstniecības iestādei ir ierobežotas finansiālas iespējas. Tāpēc šī MK noteikumu norma ir jāsvītro. Tās vietā ir jāizstrādā citas normas, kas noteiktu ārstniecības personu un ārstniecības iestāžu rīcību gadījumos, kad pastāv tādi objektīvi apstākļi, kuru dēļ kvalitatīva, proti, klīniskajās vadlīnijās noteikta ārstniecība, nav iespējama vai ir apgrūtināta. Ar MK noteikumu normām būtu jānosaka, pirmkārt, tādi pacienta aizsardzības pasākumi, piemēram, tiesības saņemt informāciju par tiem apstākļiem, kuru dēļ vadlīnijās noteikto ārstniecību nav iespējams saņemt, kas nodrošinātu, ka pacients ir pietiekami informēts un var izmantot tiesības meklēt un saņemt palīdzību citā iestādē vai </w:t>
            </w:r>
            <w:r w:rsidRPr="00E91207">
              <w:rPr>
                <w:color w:val="auto"/>
                <w:szCs w:val="28"/>
              </w:rPr>
              <w:lastRenderedPageBreak/>
              <w:t>citā veidā. Otrkārt, ar MK noteikumu normām būtu jānosaka ārstniecības iestāžu un ārstniecības personu pienākumi gadījumos, kad klīniskajās vadlīnijās noteikto nav iespējams izpildīt (arī daļēji) kādu konkrētu objektīvi ierobežojošu apstākļu dēļ. </w:t>
            </w:r>
            <w:r w:rsidRPr="00E91207">
              <w:rPr>
                <w:color w:val="auto"/>
                <w:szCs w:val="28"/>
              </w:rPr>
              <w:br/>
            </w:r>
            <w:r w:rsidRPr="00E91207">
              <w:rPr>
                <w:color w:val="auto"/>
                <w:szCs w:val="28"/>
              </w:rPr>
              <w:br/>
              <w:t>Nav pamatoti noteikt, ka pieļaujams, ka klīniskās vadlīnijas neievēro, ja tās ir izdotas līdz 2025.gadam. Nepieciešams kopējs regulējums šādām situācijām.</w:t>
            </w:r>
            <w:r w:rsidRPr="00E91207">
              <w:rPr>
                <w:color w:val="auto"/>
                <w:szCs w:val="28"/>
              </w:rPr>
              <w:br/>
            </w:r>
            <w:r w:rsidRPr="00E91207">
              <w:rPr>
                <w:color w:val="auto"/>
                <w:szCs w:val="28"/>
              </w:rPr>
              <w:br/>
              <w:t xml:space="preserve">LĢĀA iebilst MK noteikumu 20.punktā noteiktajam par to, ka ārstniecības iestādes nodrošina pēc 2025. gada 1.jūlija sagatavoto vai aktualizēto klīnisko vadlīniju, klīnisko algoritmu un klīnisko ceļu piemērošanu ārstniecības procesā. Tā kā līdz šim klīnisko vadlīniju izstrāde, ieviešana un aktualizācija ir notikusi fragmentēti un nepārskatāmi, ir iespējamas situācijas, kad </w:t>
            </w:r>
            <w:r w:rsidRPr="00E91207">
              <w:rPr>
                <w:color w:val="auto"/>
                <w:szCs w:val="28"/>
              </w:rPr>
              <w:lastRenderedPageBreak/>
              <w:t>praktizējošam ārstam nav pietiekami labi pieejama un zināma informācijas par vadlīnijās noteikto saturu. Vienlaikus ir jāizveido konsolidēta datu bāze un ar to jāiepazīstina ārstniecības personas, nodrošinot laiku šo resursu apguvei. Ir jāiekļauj normas par to kā notiek pārejas periods, kā ārstniecības personas tiek iepazīstinātas ar sistēmu un jāparedz laiks šīs sistēmas apguvei.</w:t>
            </w:r>
            <w:r w:rsidRPr="00E91207">
              <w:rPr>
                <w:color w:val="auto"/>
                <w:szCs w:val="28"/>
              </w:rPr>
              <w:br/>
            </w:r>
            <w:r w:rsidRPr="00E91207">
              <w:rPr>
                <w:color w:val="auto"/>
                <w:szCs w:val="28"/>
              </w:rPr>
              <w:br/>
              <w:t xml:space="preserve">MK noteikumu projekta anotācijā ir būtiski trūkumi. Tajā kļūdaini ir norādīts, ka šis projekts juridiskām personām neradīs administratīvās izmaksas. Visos gadījumos, kad profesionālām ārstu asociācijām būs jāsaskaņo kāds projekts, tas prasīs darba ieguldījumu un tāpēc administratīvas izmaksas. Šādas izmaksas ir jāparedz un jāizvērtē. Anotācijā ir kļūdaini norādīts, ka projektam nav jāvērtē administratīvās izmaksas. Viss, </w:t>
            </w:r>
            <w:r w:rsidRPr="00E91207">
              <w:rPr>
                <w:color w:val="auto"/>
                <w:szCs w:val="28"/>
              </w:rPr>
              <w:lastRenderedPageBreak/>
              <w:t>kas projektā ir paredzēts, radīs administratīvās izmaksas, tāpēc to izvērtēšana ir obligāta.</w:t>
            </w:r>
            <w:r w:rsidRPr="00E91207">
              <w:rPr>
                <w:color w:val="auto"/>
                <w:szCs w:val="28"/>
              </w:rPr>
              <w:br/>
            </w:r>
            <w:r w:rsidRPr="00E91207">
              <w:rPr>
                <w:color w:val="auto"/>
                <w:szCs w:val="28"/>
              </w:rPr>
              <w:br/>
              <w:t>Projekta anotācijā kļūdaini ir norādīts, ka šis tiesību akts neietekmēs profesiju reglamentāciju. Klīniskas vadlīnijas tieši un nepastarpināti ietekmē ārstniecības personu kā reglamentētās profesijas pārstāvju darbību. Tāpēc vadlīniju, kā netieši reglamentējošu dokumentu, izstrādāšanas un ieviešanas procesa noteikumi ietekmē ārstu profesionālās darbības reglamentāciju.</w:t>
            </w:r>
            <w:r w:rsidRPr="00E91207">
              <w:rPr>
                <w:color w:val="auto"/>
                <w:szCs w:val="28"/>
              </w:rPr>
              <w:br/>
            </w:r>
            <w:r w:rsidRPr="00E91207">
              <w:rPr>
                <w:color w:val="auto"/>
                <w:szCs w:val="28"/>
              </w:rPr>
              <w:br/>
              <w:t xml:space="preserve">LĢĀA nesaskata nekādu pamatojumu pievienot MK noteikumiem 1.pielikumu, kurā tiek noteikts, ka klīniskajiem algoritmiem ir jālieto daži pielikumā norādīti grafiskie elementi. Nav saprotams kāpēc MK būtu jāizdod noteikumu normas, kas noteiktu, ka informāciju ietver apļu vai ovāla </w:t>
            </w:r>
            <w:r w:rsidRPr="00E91207">
              <w:rPr>
                <w:color w:val="auto"/>
                <w:szCs w:val="28"/>
              </w:rPr>
              <w:lastRenderedPageBreak/>
              <w:t>grafiskā formā, bet to saistību norāda ar bultām.</w:t>
            </w:r>
            <w:r w:rsidRPr="00E91207">
              <w:rPr>
                <w:color w:val="auto"/>
                <w:szCs w:val="28"/>
              </w:rPr>
              <w:br/>
            </w:r>
          </w:p>
        </w:tc>
        <w:tc>
          <w:tcPr>
            <w:tcW w:w="2205" w:type="dxa"/>
            <w:shd w:val="clear" w:color="auto" w:fill="FFFFFF" w:themeFill="background1"/>
            <w:noWrap/>
            <w:tcMar>
              <w:top w:w="75" w:type="dxa"/>
              <w:left w:w="75" w:type="dxa"/>
              <w:bottom w:w="75" w:type="dxa"/>
              <w:right w:w="75" w:type="dxa"/>
            </w:tcMar>
            <w:vAlign w:val="center"/>
          </w:tcPr>
          <w:p w14:paraId="6A05A809" w14:textId="621C462B" w:rsidR="00F55666" w:rsidRPr="00E91207" w:rsidRDefault="5B65C66F">
            <w:pPr>
              <w:jc w:val="left"/>
              <w:rPr>
                <w:color w:val="auto"/>
                <w:szCs w:val="28"/>
              </w:rPr>
            </w:pPr>
            <w:r w:rsidRPr="00E91207">
              <w:rPr>
                <w:color w:val="auto"/>
                <w:szCs w:val="28"/>
              </w:rPr>
              <w:lastRenderedPageBreak/>
              <w:t>Daļēji</w:t>
            </w:r>
            <w:r w:rsidR="42CAF029" w:rsidRPr="00E91207">
              <w:rPr>
                <w:color w:val="auto"/>
                <w:szCs w:val="28"/>
              </w:rPr>
              <w:t xml:space="preserve"> ņemts vērā</w:t>
            </w:r>
          </w:p>
        </w:tc>
        <w:tc>
          <w:tcPr>
            <w:tcW w:w="3501" w:type="dxa"/>
            <w:shd w:val="clear" w:color="auto" w:fill="FFFFFF" w:themeFill="background1"/>
            <w:noWrap/>
            <w:tcMar>
              <w:top w:w="75" w:type="dxa"/>
              <w:left w:w="75" w:type="dxa"/>
              <w:bottom w:w="75" w:type="dxa"/>
              <w:right w:w="75" w:type="dxa"/>
            </w:tcMar>
            <w:vAlign w:val="center"/>
          </w:tcPr>
          <w:p w14:paraId="06FEE254" w14:textId="4427ED51" w:rsidR="00F55666" w:rsidRPr="00E91207" w:rsidRDefault="4E023E54" w:rsidP="1A7EB404">
            <w:pPr>
              <w:spacing w:line="259" w:lineRule="auto"/>
              <w:rPr>
                <w:strike/>
                <w:color w:val="auto"/>
                <w:szCs w:val="28"/>
              </w:rPr>
            </w:pPr>
            <w:r w:rsidRPr="00E91207">
              <w:rPr>
                <w:color w:val="auto"/>
                <w:szCs w:val="28"/>
              </w:rPr>
              <w:t xml:space="preserve">Tieslietu ministrija ir norādījusi, ka nav korekti ieviest noteikumu projektā mērķi, attiecīgi Ministru kabineta noteikumi ir likumam pakārtoti normatīvie akti un to izdošana notiek saskaņā ar likumā noteiktu pilnvarojumu, tādējādi Ministru kabineta noteikumiem nav savu mērķu. Ministru kabineta noteikumi ir ārējie normatīvie akti, kas jebkurā gadījumā precīzi jāizpilda. Ņemot vērā iepriekš </w:t>
            </w:r>
            <w:r w:rsidRPr="00E91207">
              <w:rPr>
                <w:color w:val="auto"/>
                <w:szCs w:val="28"/>
              </w:rPr>
              <w:lastRenderedPageBreak/>
              <w:t>minēto precizēts noteikumu projekta 2.punkts "Šie noteikumi nosaka pēc vienotiem kritērijiem balstītu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 "</w:t>
            </w:r>
            <w:r w:rsidRPr="00E91207">
              <w:rPr>
                <w:strike/>
                <w:color w:val="auto"/>
                <w:szCs w:val="28"/>
              </w:rPr>
              <w:t>-</w:t>
            </w:r>
          </w:p>
          <w:p w14:paraId="7D8E9147" w14:textId="1CEA65B9" w:rsidR="00F55666" w:rsidRPr="00E91207" w:rsidRDefault="00F55666" w:rsidP="1A7EB404">
            <w:pPr>
              <w:spacing w:line="259" w:lineRule="auto"/>
              <w:rPr>
                <w:strike/>
                <w:color w:val="auto"/>
                <w:szCs w:val="28"/>
              </w:rPr>
            </w:pPr>
          </w:p>
          <w:p w14:paraId="5B87936C" w14:textId="5B3BF3EB" w:rsidR="00F55666" w:rsidRPr="00E91207" w:rsidRDefault="4E023E54" w:rsidP="1A7EB404">
            <w:pPr>
              <w:spacing w:line="259" w:lineRule="auto"/>
              <w:rPr>
                <w:color w:val="auto"/>
                <w:szCs w:val="28"/>
              </w:rPr>
            </w:pPr>
            <w:r w:rsidRPr="00E91207">
              <w:rPr>
                <w:color w:val="auto"/>
                <w:szCs w:val="28"/>
              </w:rPr>
              <w:t xml:space="preserve">Valsts iestāžu, ārstniecības personu, profesionālo asociāciju pienākumi un  tiesības ir norādītas noteikumu projekta 5.punktā (sagatavotājs vadlīnijas iesniedz SPKC, SPKC klīniskās vadlīnijas reģistrē </w:t>
            </w:r>
            <w:r w:rsidRPr="00E91207">
              <w:rPr>
                <w:color w:val="auto"/>
                <w:szCs w:val="28"/>
              </w:rPr>
              <w:lastRenderedPageBreak/>
              <w:t>datubāzē). Savukārt noteikumu projekta 8., 10., un 12. Punkts nosaka pienākumus sagatavotājam iesnieguma sagatavošanai.</w:t>
            </w:r>
          </w:p>
          <w:p w14:paraId="2C68919A" w14:textId="2BBBCBE3" w:rsidR="00F55666" w:rsidRPr="00E91207" w:rsidRDefault="00F55666" w:rsidP="1A7EB404">
            <w:pPr>
              <w:spacing w:line="259" w:lineRule="auto"/>
              <w:rPr>
                <w:color w:val="auto"/>
                <w:szCs w:val="28"/>
              </w:rPr>
            </w:pPr>
          </w:p>
          <w:p w14:paraId="42BED2BE" w14:textId="2105D89A" w:rsidR="00F55666" w:rsidRPr="00E91207" w:rsidRDefault="4E023E54" w:rsidP="1A7EB404">
            <w:pPr>
              <w:spacing w:line="259" w:lineRule="auto"/>
              <w:rPr>
                <w:color w:val="auto"/>
                <w:szCs w:val="28"/>
                <w:lang w:val="en-GB"/>
              </w:rPr>
            </w:pPr>
            <w:r w:rsidRPr="00E91207">
              <w:rPr>
                <w:color w:val="auto"/>
                <w:szCs w:val="28"/>
              </w:rPr>
              <w:t xml:space="preserve">Veselības ministrija norāda, ka LĢĀA paustie apsvērumi pēc būtības skar ne tikai konkrēto tiesību akta projektu, bet metodiskās vadības institūta konceptu un tā darbības modeli kopumā, kas pārsniedz šī noteikumu projekta tvērumu. Metodiskās vadības institūcija savu darbu īsteno saskaņā ar Ministru kabineta 2024.gada 13.augusta noteikumiem 543 "Metodiskās vadības institūcijas noteikumi", atbilstoši šiem noteikumiem 6.1. apakšpunkts norāda, ka metodiskās vadības institūcijai ir tiesības normatīvajos aktos noteiktajā </w:t>
            </w:r>
            <w:r w:rsidRPr="00E91207">
              <w:rPr>
                <w:color w:val="auto"/>
                <w:szCs w:val="28"/>
              </w:rPr>
              <w:lastRenderedPageBreak/>
              <w:t xml:space="preserve">kārtībā izvērtēt un aktualizēt klīniskās vadlīnijas, klīniskos algoritmus un klīniskos ceļus savas kompetences ietvaros, savukārt 7.2. apakšpunkts paredz pienākumu izstrādāt vienotos profilakses, diagnostikas un , ārstēšanas un tās pēctecības principus un veicināt to ieviešanu, bet 7.10. apakšpunkts nosaka pienākumu sadarboties ar ārstniecības personu profesionālajām organizācijām. Veselības ministrija norāda, ka metodiskās vadības institūcijas īsteno normatīvos aktos noteiktās funkcijas metodiskās koordinācijas un kvalitātes pārraudzības ietvaros, bet nedarbojas kā profesionālās darbības regulējoša institūcija. Attiecībā uz paustajām bažām par profesionālo asociāciju </w:t>
            </w:r>
            <w:r w:rsidRPr="00E91207">
              <w:rPr>
                <w:color w:val="auto"/>
                <w:szCs w:val="28"/>
              </w:rPr>
              <w:lastRenderedPageBreak/>
              <w:t>tiesībām izstrādāt klīniskās vadlīnijas vai algoritmus, norādām, ka spēkā esošais normatīvais regulējums neparedz profesionālo organizāciju tiešu ierobežojumu izstrādāt nozares dokumentus savas kompetences</w:t>
            </w:r>
          </w:p>
          <w:p w14:paraId="38BF7893" w14:textId="6F9DB202" w:rsidR="00F55666" w:rsidRPr="00E91207" w:rsidRDefault="4E023E54" w:rsidP="1A7EB404">
            <w:pPr>
              <w:spacing w:line="259" w:lineRule="auto"/>
              <w:rPr>
                <w:color w:val="auto"/>
                <w:szCs w:val="28"/>
                <w:lang w:val="en-GB"/>
              </w:rPr>
            </w:pPr>
            <w:r w:rsidRPr="00E91207">
              <w:rPr>
                <w:color w:val="auto"/>
                <w:szCs w:val="28"/>
              </w:rPr>
              <w:t xml:space="preserve">ietvaros. Vienlaikus normatīvais regulējums paredz, ka klīnisko vadlīniju izvērtēšana un aktualizācijas koordinēšana metodiskās vadības jomā ir metodiskās vadības institūcijas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w:t>
            </w:r>
            <w:r w:rsidRPr="00E91207">
              <w:rPr>
                <w:color w:val="auto"/>
                <w:szCs w:val="28"/>
              </w:rPr>
              <w:lastRenderedPageBreak/>
              <w:t xml:space="preserve">normatīvais regulējums esošais normatīvais regulējums neparedz profesionālo organizāciju tiešu ierobežojumu izstrādāt nozares dokumentus savas kompetences ietvaros. Kā norādīts jau iepriekš, normatīvais regulējums jau šobrīd ietver pienākumu metodisko vadību institūcijām nodrošināt profesionālo asociāciju un citu nozares pārstāvju iesaisti. Tādējādi secināms, ka metodisko vadības institūciju  darbības modelis ir balstīts uz ekspertu piesaisti un sadarbību, nevis centralizētu un izolētu lēmumu pieņemšanu. Noslēgumā uzsveram, ka metodisko vadības institūciju funkcija ir metodiskā koordinācija un kvalitātes pārraudzība, nodrošinot pierādījumos </w:t>
            </w:r>
            <w:r w:rsidRPr="00E91207">
              <w:rPr>
                <w:color w:val="auto"/>
                <w:szCs w:val="28"/>
              </w:rPr>
              <w:lastRenderedPageBreak/>
              <w:t xml:space="preserve">balstītu un starpdisciplināru pieeju. Profesionālo asociāciju iesaiste un sadarbība ir neatņemama šīs funkcijas sastāvdaļa.  Ņemot vērā minēto, ministrija neuzskata par pamatotu mainīt 3. un 4. punktā minēto, jo ārstu profesionālām organizācijas, ārstniecības profesionāļi var sadarboties ar metodiskās vadības institūciju un izstrādāt klīniskās vadlīnijas, klīnisko algoritmus un klīniskos ceļus.    </w:t>
            </w:r>
          </w:p>
          <w:p w14:paraId="0DA6493B" w14:textId="5A2CD452" w:rsidR="00F55666" w:rsidRPr="00E91207" w:rsidRDefault="00F55666" w:rsidP="1A7EB404">
            <w:pPr>
              <w:spacing w:line="259" w:lineRule="auto"/>
              <w:rPr>
                <w:color w:val="auto"/>
                <w:szCs w:val="28"/>
              </w:rPr>
            </w:pPr>
          </w:p>
          <w:p w14:paraId="4B8B0F6B" w14:textId="649CD5DA" w:rsidR="00F55666" w:rsidRPr="00E91207" w:rsidRDefault="5B3D87D6" w:rsidP="1A7EB404">
            <w:pPr>
              <w:spacing w:line="259" w:lineRule="auto"/>
              <w:rPr>
                <w:color w:val="auto"/>
                <w:szCs w:val="28"/>
              </w:rPr>
            </w:pPr>
            <w:r w:rsidRPr="00E91207">
              <w:rPr>
                <w:color w:val="auto"/>
                <w:szCs w:val="28"/>
              </w:rPr>
              <w:t xml:space="preserve">Noteikumu projekta 19.punkts pēc TM ierosinājuma ir pārnests uz noteikumu projekta I sadaļu, kā arī punkts ir precizēts, attiecīgi 7. "Ārstniecības iestādes nodrošina klīnisko vadlīniju klīnisko algoritmu un klīnisko ceļu piemērošanu ārstniecības procesā. Atkāpes </w:t>
            </w:r>
            <w:r w:rsidRPr="00E91207">
              <w:rPr>
                <w:color w:val="auto"/>
                <w:szCs w:val="28"/>
              </w:rPr>
              <w:lastRenderedPageBreak/>
              <w:t>no šajā punktā minēto klīnisko vadlīniju, klīnisko algoritmu un klīnisko ceļu piemērošanas ārstniecības procesā ir pieļaujamas, ja tās ir medicīniski pamatotas un atbilstoši dokumentētas pacienta medicīniskajā dokumentācijā." ĀL 9.</w:t>
            </w:r>
            <w:r w:rsidRPr="00E91207">
              <w:rPr>
                <w:color w:val="auto"/>
                <w:szCs w:val="28"/>
                <w:vertAlign w:val="superscript"/>
              </w:rPr>
              <w:t>1</w:t>
            </w:r>
            <w:r w:rsidRPr="00E91207">
              <w:rPr>
                <w:color w:val="auto"/>
                <w:szCs w:val="28"/>
              </w:rPr>
              <w:t xml:space="preserve">. pirmā daļa jau paredz, ka ārstniecību veic atbilstoši klīniskajam vadlīnijām, klīniskajiem algoritmiem un klīniskajiem ceļiem vai ārstniecībā izmantojamu metožu un zāļu lietošanas drošības un ārstēšanas efektivitātes novērtējumam. Ārstniecības procesa dalībniekam ir saistošas Ārstniecības likuma 9.¹ pantā nostiprinātās prasības attiecībā uz klīnisko vadlīniju izmantošanu ārstniecībā, ciktāl tās ir piemērojamas neatliekamās medicīniskās </w:t>
            </w:r>
            <w:r w:rsidRPr="00E91207">
              <w:rPr>
                <w:color w:val="auto"/>
                <w:szCs w:val="28"/>
              </w:rPr>
              <w:lastRenderedPageBreak/>
              <w:t>palīdzības sniegšanai vai citu objektīvu iemeslu dēļ , kad vadlīniju ievērošana nav iespējama vai ir apgrūtināta. Atkāpšanās no klīniskajām vadlīnijām pati par sevi nav prettiesiska, ja tā ir objektīvi pamatota un atbilst profesionālajam standartam konkrētajā situācijā. Vispārīgo jautājumu 7. punkts jau skaidro, ka atkāpes  no vadlīniju ievērošanas pieļaujamas, ja tās ir medicīniski pamatotas un atbilstoši dokumentētas pacienta medicīniskajā kartē.</w:t>
            </w:r>
          </w:p>
          <w:p w14:paraId="4795E805" w14:textId="7BDA5B2D" w:rsidR="00F55666" w:rsidRPr="00E91207" w:rsidRDefault="00F55666" w:rsidP="1A7EB404">
            <w:pPr>
              <w:spacing w:line="259" w:lineRule="auto"/>
              <w:rPr>
                <w:color w:val="auto"/>
                <w:szCs w:val="28"/>
              </w:rPr>
            </w:pPr>
          </w:p>
          <w:p w14:paraId="4D29DF5F" w14:textId="03FD8588" w:rsidR="00F55666" w:rsidRPr="00E91207" w:rsidRDefault="5B3D87D6" w:rsidP="1A7EB404">
            <w:pPr>
              <w:spacing w:line="259" w:lineRule="auto"/>
              <w:rPr>
                <w:color w:val="auto"/>
                <w:szCs w:val="28"/>
              </w:rPr>
            </w:pPr>
            <w:r w:rsidRPr="00E91207">
              <w:rPr>
                <w:color w:val="auto"/>
                <w:szCs w:val="28"/>
              </w:rPr>
              <w:t xml:space="preserve">Veselības ministrija norāda, ka klīnisko vadlīniju, klīnisko algoritmu saskaņojumu nosaka pats sagatavotājs, t.i., noteikumu projekts nevar regulēt saskaņojuma kārtību dažādām jomām, noteikumu projekts regulē nosakot, ja </w:t>
            </w:r>
            <w:r w:rsidRPr="00E91207">
              <w:rPr>
                <w:color w:val="auto"/>
                <w:szCs w:val="28"/>
              </w:rPr>
              <w:lastRenderedPageBreak/>
              <w:t xml:space="preserve">klīnisko vadlīniju sagatavotājs ir ārstniecības iestāde, profesionālā asociācija vai augstskola tās ir jāsaskaņo ar attiecīgajām profesionālām asociācijām (ja joma, skar vairākas jomas, sagatavotājs pats nosaka ar kurām asociācijām saskaņot), savukārt, ja jomai ir sava Metodiskās vadības institūcija, tad saskaņošana netiek tieši pieprasīta, bet netiek arī aizliegta. Vienlaikus jāņem vērā, ka normatīvais regulējums paredz izstrādātajām iespēju piesaistīt nepieciešamos profesionāļus jebkurā dokumenta izstrādes posmā. Tomēr praksē šāda pieeja ne vienmēr it viegli īstenojama, jo savlaicīga un aktīva specialistu iesaiste bieži ir ierobežota, tādēļ saskaņošanas pieprasīšana par </w:t>
            </w:r>
            <w:r w:rsidRPr="00E91207">
              <w:rPr>
                <w:color w:val="auto"/>
                <w:szCs w:val="28"/>
              </w:rPr>
              <w:lastRenderedPageBreak/>
              <w:t xml:space="preserve">jau sagatavotu dokumenta projektu praksē ir kļuvusi par efektīvāko un reāli piemērojamāko risinājumu.  </w:t>
            </w:r>
          </w:p>
          <w:p w14:paraId="5D80CFA1" w14:textId="596311D1" w:rsidR="00F55666" w:rsidRPr="00E91207" w:rsidRDefault="00F55666" w:rsidP="1A7EB404">
            <w:pPr>
              <w:spacing w:line="259" w:lineRule="auto"/>
              <w:rPr>
                <w:color w:val="auto"/>
                <w:szCs w:val="28"/>
              </w:rPr>
            </w:pPr>
          </w:p>
          <w:p w14:paraId="463B7004" w14:textId="394EABAD" w:rsidR="00F55666" w:rsidRPr="00E91207" w:rsidRDefault="5B3D87D6" w:rsidP="1A7EB404">
            <w:pPr>
              <w:spacing w:before="280" w:line="259" w:lineRule="auto"/>
              <w:rPr>
                <w:color w:val="auto"/>
                <w:szCs w:val="28"/>
              </w:rPr>
            </w:pPr>
            <w:r w:rsidRPr="00E91207">
              <w:rPr>
                <w:color w:val="auto"/>
                <w:szCs w:val="28"/>
              </w:rPr>
              <w:t xml:space="preserve">Noteikumu projekta V daļa nav papildināma ar normu, kurā skaidrots kā izteikt saskaņotājiem iebildumus un precizējumus, jo VM ieskatā iebildumu sniedzēja piedāvājums ir konceptuāli tuvs TAP portāla pieejai (nav paredzēts klīnisko vadlīniju saskaņošanai), tomēr nav skaidrs, kā šādu risinājumu praktiski būtu iespējams īstenot attiecībā uz klīnisko vadlīniju saskaņošanu, kā arī šāda procesa ietvaros pastāv risks, ka iesaistītās puses nespēj vienoties par optimālo redakciju, savukārt atbildība par gala lēmumu, proti, par to, kuri priekšlikumi tiek ņemti </w:t>
            </w:r>
            <w:r w:rsidRPr="00E91207">
              <w:rPr>
                <w:color w:val="auto"/>
                <w:szCs w:val="28"/>
              </w:rPr>
              <w:lastRenderedPageBreak/>
              <w:t xml:space="preserve">vērā un </w:t>
            </w:r>
            <w:r w:rsidRPr="00E91207">
              <w:rPr>
                <w:strike/>
                <w:color w:val="auto"/>
                <w:szCs w:val="28"/>
              </w:rPr>
              <w:t xml:space="preserve">k </w:t>
            </w:r>
            <w:r w:rsidRPr="00E91207">
              <w:rPr>
                <w:color w:val="auto"/>
                <w:szCs w:val="28"/>
              </w:rPr>
              <w:t xml:space="preserve">kuri netiek – paliktu neskaidri. Vienlaikus šāda pieeja var radīt arī priekšstatu par izstrādātāju profesionalitātes apšaubīšanu, jo dokumenta sagatavošana tiktu pakļauta plašai un metodoloģiski nenoteiktai pārvērtēšanai. VM ieskatā haotiska un strukturāli nenoteikta iesaistes forma šajā gadījumā nebūtu atbalstāma. Tādēļ pamatotāk ir saglabāt līdzšinējo pieeju, proti, mērķētu (vaicātu) saskaņošanu, kas nodrošina gan skaidru atbildības sadalījumu, gan procesuālu pārskatāmību un efektivitāti.  </w:t>
            </w:r>
          </w:p>
          <w:p w14:paraId="7891C215" w14:textId="0F0DBCAA" w:rsidR="00F55666" w:rsidRPr="00E91207" w:rsidRDefault="00F55666" w:rsidP="1A7EB404">
            <w:pPr>
              <w:spacing w:line="259" w:lineRule="auto"/>
              <w:rPr>
                <w:color w:val="auto"/>
                <w:szCs w:val="28"/>
              </w:rPr>
            </w:pPr>
          </w:p>
          <w:p w14:paraId="7E40216E" w14:textId="22D2F735" w:rsidR="00F55666" w:rsidRPr="00E91207" w:rsidRDefault="5B3D87D6" w:rsidP="1A7EB404">
            <w:pPr>
              <w:shd w:val="clear" w:color="auto" w:fill="FFFFFF" w:themeFill="background1"/>
              <w:spacing w:before="300" w:after="300" w:line="259" w:lineRule="auto"/>
              <w:rPr>
                <w:color w:val="auto"/>
                <w:szCs w:val="28"/>
              </w:rPr>
            </w:pPr>
            <w:r w:rsidRPr="00E91207">
              <w:rPr>
                <w:color w:val="auto"/>
                <w:szCs w:val="28"/>
              </w:rPr>
              <w:t xml:space="preserve">Veselības ministrija norāda, ka iebildumā norādītais jautājums — pacienta tiesības saņemt informāciju par apstākļiem, kuru dēļ </w:t>
            </w:r>
            <w:r w:rsidRPr="00E91207">
              <w:rPr>
                <w:color w:val="auto"/>
                <w:szCs w:val="28"/>
              </w:rPr>
              <w:lastRenderedPageBreak/>
              <w:t>vadlīnijās noteikto ārstniecību konkrētajā ārstniecības iestādē nav iespējams nodrošināt, kā arī iespēja lemt par palīdzības meklēšanu citā ārstniecības iestādē vai citā veidā — pēc savas būtības ir pacienta tiesību un informēšanas jautājums. Šādi jautājumi ir risināmi Pacientu tiesību likuma ietvarā, kas nosaka pacienta tiesības uz informāciju, tostarp par veselības stāvokli, ārstēšanas iespējām un ārstniecības procesu. Līdz ar to šāda satura tiesību un pienākumu ietveršana Ministru kabineta noteikumos pārsniegtu deleģējuma robežas un neatbilstu normatīvā regulējuma sistemātikai.</w:t>
            </w:r>
          </w:p>
          <w:p w14:paraId="38E2E4AE" w14:textId="1ABB1AA8" w:rsidR="00F55666" w:rsidRPr="00E91207" w:rsidRDefault="5B3D87D6" w:rsidP="1A7EB404">
            <w:pPr>
              <w:spacing w:before="280" w:line="259" w:lineRule="auto"/>
              <w:rPr>
                <w:color w:val="auto"/>
                <w:szCs w:val="28"/>
                <w:lang w:val="en-GB"/>
              </w:rPr>
            </w:pPr>
            <w:r w:rsidRPr="00E91207">
              <w:rPr>
                <w:color w:val="auto"/>
                <w:szCs w:val="28"/>
              </w:rPr>
              <w:t xml:space="preserve">Veselības ministrija norāda, ka, noteikumu projekta 16. punktā jau ir noteikts, ka </w:t>
            </w:r>
            <w:r w:rsidRPr="00E91207">
              <w:rPr>
                <w:color w:val="auto"/>
                <w:szCs w:val="28"/>
              </w:rPr>
              <w:lastRenderedPageBreak/>
              <w:t>datubāzi veido un uztur Slimību profilakses un kontroles centrs, savukārt 19. punkts paredz centra pienākumu informēt par reģistrēšanu datubāzē gan dokumentu sagatavotājus, gan lietotājus, gan Veselības ministriju. Līdz ar to jautājumi par datubāzes izveidi un informācijas apriti projektā jau ir regulēti. Savukārt ārstniecības personu iepazīstināšana ar sistēmu, apmācību organizēšana un laiks tās apguvei ir ieviešanas jautājumi, nevis noteikumu projekta regulējuma priekšmets.</w:t>
            </w:r>
          </w:p>
          <w:p w14:paraId="5EA1E0F1" w14:textId="06872745" w:rsidR="00F55666" w:rsidRPr="00E91207" w:rsidRDefault="00F55666" w:rsidP="1A7EB404">
            <w:pPr>
              <w:spacing w:line="259" w:lineRule="auto"/>
              <w:rPr>
                <w:color w:val="auto"/>
                <w:szCs w:val="28"/>
              </w:rPr>
            </w:pPr>
          </w:p>
          <w:p w14:paraId="15CCF143" w14:textId="0CFCBAA7" w:rsidR="00F55666" w:rsidRPr="00E91207" w:rsidRDefault="5B3D87D6" w:rsidP="1A7EB404">
            <w:pPr>
              <w:spacing w:line="259" w:lineRule="auto"/>
              <w:rPr>
                <w:color w:val="auto"/>
                <w:szCs w:val="28"/>
              </w:rPr>
            </w:pPr>
            <w:r w:rsidRPr="00E91207">
              <w:rPr>
                <w:color w:val="auto"/>
                <w:szCs w:val="28"/>
              </w:rPr>
              <w:t xml:space="preserve">Projekta anotācijā ir norādīts, ka tiesību akts neietekmēs profesiju reglamentāciju. Veselības ministrijas izpratnē noteikumu projekts nenosaka īpašas prasības uz Likuma </w:t>
            </w:r>
            <w:r w:rsidRPr="00E91207">
              <w:rPr>
                <w:color w:val="auto"/>
                <w:szCs w:val="28"/>
              </w:rPr>
              <w:lastRenderedPageBreak/>
              <w:t xml:space="preserve">"Par reglamentētajām profesijām un profesionālās kvalifikācijas atzīšanu" 1.pantā minētajiem terminiem "Reglamentēta profesija", "Reglamentēta izglītība" vai "Reglamentēta profesionālā darbība". Profesiju reglaments tiktu ietekmēts tikai tad, ja noteikumu projekts noteiktu īpašas prasības uz ārstniecības personas izglītību, ārstniecības personas kvalifikāciju apliecinošajiem dokumentiem vai ārstniecības personas profesionālās darbības nosaukuma lietošanu. Ņemot vērā iepriekš minēto, norādam, ka klīnisko vadlīniju, klīnisko algoritmu un klīnisko ceļu reģistrēšanas, iesniegšanas, ieviešanas un aktualizēšanas kārtība tiešā veidā neietekmē profesiju reglamentāciju.  </w:t>
            </w:r>
          </w:p>
          <w:p w14:paraId="5EDBCA1E" w14:textId="1646D7C3" w:rsidR="00F55666" w:rsidRPr="00E91207" w:rsidRDefault="00F55666" w:rsidP="1A7EB404">
            <w:pPr>
              <w:spacing w:line="259" w:lineRule="auto"/>
              <w:rPr>
                <w:color w:val="auto"/>
                <w:szCs w:val="28"/>
              </w:rPr>
            </w:pPr>
          </w:p>
          <w:p w14:paraId="352A79D9" w14:textId="162FC420" w:rsidR="00F55666" w:rsidRPr="00E91207" w:rsidRDefault="5B3D87D6" w:rsidP="1A7EB404">
            <w:pPr>
              <w:spacing w:before="280" w:line="259" w:lineRule="auto"/>
              <w:rPr>
                <w:color w:val="auto"/>
                <w:szCs w:val="28"/>
              </w:rPr>
            </w:pPr>
            <w:r w:rsidRPr="00E91207">
              <w:rPr>
                <w:color w:val="auto"/>
                <w:szCs w:val="28"/>
              </w:rPr>
              <w:t>Veselības ministrija ir ņēmusi vērā iebildumu par 1.pielikumu un tas ticis dzēst. Papildināts shematiskā attēlojuma apakšpunkts: 11.6. klīniskā algoritma shematisks attēlojums, kurā sniegta lietotājam strukturēta pamatinformācija par konkrētajā klīniskajā situācijā veicamajām darbībām, to secību, iesaistītajiem speciālistiem visos nepieciešamajos aprūpes līmeņos. Shematisko attēlojumu veido saskaņā ar ISO 5807</w:t>
            </w:r>
          </w:p>
          <w:p w14:paraId="1ABF6190" w14:textId="62A3EB95" w:rsidR="00F55666" w:rsidRPr="00E91207" w:rsidRDefault="00F55666" w:rsidP="1A7EB404">
            <w:pPr>
              <w:spacing w:line="259" w:lineRule="auto"/>
              <w:rPr>
                <w:color w:val="auto"/>
                <w:szCs w:val="28"/>
              </w:rPr>
            </w:pPr>
          </w:p>
          <w:p w14:paraId="3B8E434A" w14:textId="2B999963" w:rsidR="00F55666" w:rsidRPr="00E91207" w:rsidRDefault="5B3D87D6" w:rsidP="1A7EB404">
            <w:pPr>
              <w:spacing w:before="280" w:line="259" w:lineRule="auto"/>
              <w:rPr>
                <w:color w:val="auto"/>
                <w:szCs w:val="28"/>
              </w:rPr>
            </w:pPr>
            <w:r w:rsidRPr="00E91207">
              <w:rPr>
                <w:color w:val="auto"/>
                <w:szCs w:val="28"/>
              </w:rPr>
              <w:t xml:space="preserve">Papildināta noteikumu projekta anotācija ar administratīvā sloga aprēķiniem, kā arī skaidrota profesionālo asociāciju </w:t>
            </w:r>
            <w:r w:rsidRPr="00E91207">
              <w:rPr>
                <w:color w:val="auto"/>
                <w:szCs w:val="28"/>
              </w:rPr>
              <w:lastRenderedPageBreak/>
              <w:t>iesaistes principi sadarbībā ar Metodiskiem vadības institūtiem.</w:t>
            </w:r>
          </w:p>
          <w:p w14:paraId="11B1EA88" w14:textId="12BA6A39" w:rsidR="00F55666" w:rsidRPr="00E91207" w:rsidRDefault="00F55666" w:rsidP="1A7EB404">
            <w:pPr>
              <w:spacing w:line="259" w:lineRule="auto"/>
              <w:rPr>
                <w:color w:val="auto"/>
                <w:szCs w:val="28"/>
              </w:rPr>
            </w:pPr>
          </w:p>
          <w:p w14:paraId="5A39BBE3" w14:textId="1434F779" w:rsidR="00F55666" w:rsidRPr="00E91207" w:rsidRDefault="00F55666" w:rsidP="1A7EB404">
            <w:pPr>
              <w:spacing w:line="259" w:lineRule="auto"/>
              <w:rPr>
                <w:color w:val="auto"/>
                <w:szCs w:val="28"/>
              </w:rPr>
            </w:pPr>
          </w:p>
        </w:tc>
      </w:tr>
      <w:tr w:rsidR="00F55666" w:rsidRPr="00E91207" w14:paraId="536A2946" w14:textId="77777777" w:rsidTr="1A7EB404">
        <w:tc>
          <w:tcPr>
            <w:tcW w:w="750" w:type="dxa"/>
            <w:shd w:val="clear" w:color="auto" w:fill="FFFFFF" w:themeFill="background1"/>
            <w:noWrap/>
            <w:tcMar>
              <w:top w:w="75" w:type="dxa"/>
              <w:left w:w="75" w:type="dxa"/>
              <w:bottom w:w="75" w:type="dxa"/>
              <w:right w:w="75" w:type="dxa"/>
            </w:tcMar>
            <w:vAlign w:val="center"/>
          </w:tcPr>
          <w:p w14:paraId="0F9ABB3F" w14:textId="77777777" w:rsidR="00F55666" w:rsidRPr="00E91207" w:rsidRDefault="0009291F">
            <w:pPr>
              <w:jc w:val="center"/>
              <w:rPr>
                <w:color w:val="auto"/>
                <w:szCs w:val="28"/>
              </w:rPr>
            </w:pPr>
            <w:r w:rsidRPr="00E91207">
              <w:rPr>
                <w:color w:val="auto"/>
                <w:szCs w:val="28"/>
              </w:rPr>
              <w:lastRenderedPageBreak/>
              <w:t>4.</w:t>
            </w:r>
          </w:p>
        </w:tc>
        <w:tc>
          <w:tcPr>
            <w:tcW w:w="4055" w:type="dxa"/>
            <w:shd w:val="clear" w:color="auto" w:fill="FFFFFF" w:themeFill="background1"/>
            <w:noWrap/>
            <w:tcMar>
              <w:top w:w="75" w:type="dxa"/>
              <w:left w:w="75" w:type="dxa"/>
              <w:bottom w:w="75" w:type="dxa"/>
              <w:right w:w="75" w:type="dxa"/>
            </w:tcMar>
            <w:vAlign w:val="center"/>
          </w:tcPr>
          <w:p w14:paraId="633D5978" w14:textId="77777777" w:rsidR="00F55666" w:rsidRPr="00E91207" w:rsidRDefault="0009291F">
            <w:pPr>
              <w:jc w:val="left"/>
              <w:rPr>
                <w:color w:val="auto"/>
                <w:szCs w:val="28"/>
              </w:rPr>
            </w:pPr>
            <w:r w:rsidRPr="00E91207">
              <w:rPr>
                <w:color w:val="auto"/>
                <w:szCs w:val="28"/>
              </w:rPr>
              <w:t>Latvijas Ģimenes ārstu asociācija</w:t>
            </w:r>
          </w:p>
        </w:tc>
        <w:tc>
          <w:tcPr>
            <w:tcW w:w="4056" w:type="dxa"/>
            <w:shd w:val="clear" w:color="auto" w:fill="FFFFFF" w:themeFill="background1"/>
            <w:noWrap/>
            <w:tcMar>
              <w:top w:w="75" w:type="dxa"/>
              <w:left w:w="75" w:type="dxa"/>
              <w:bottom w:w="75" w:type="dxa"/>
              <w:right w:w="75" w:type="dxa"/>
            </w:tcMar>
            <w:vAlign w:val="center"/>
          </w:tcPr>
          <w:p w14:paraId="3542C4E1" w14:textId="77777777" w:rsidR="00F55666" w:rsidRPr="00E91207" w:rsidRDefault="0009291F">
            <w:pPr>
              <w:jc w:val="left"/>
              <w:rPr>
                <w:color w:val="auto"/>
                <w:szCs w:val="28"/>
              </w:rPr>
            </w:pPr>
            <w:r w:rsidRPr="00E91207">
              <w:rPr>
                <w:color w:val="auto"/>
                <w:szCs w:val="28"/>
              </w:rPr>
              <w:t>Biedrība "Latvijas Ģimenes ārstu asociācija" (turpmāk-LĢĀA) noteikumu projektu NESASKAŅO, bet tehniski sistēma neļava kā atzinumu saglabāt (pirms iesniegšanas), tāpēc iesniegts tikai publiskās apspriešanas sadaļā.</w:t>
            </w:r>
          </w:p>
        </w:tc>
        <w:tc>
          <w:tcPr>
            <w:tcW w:w="2205" w:type="dxa"/>
            <w:shd w:val="clear" w:color="auto" w:fill="FFFFFF" w:themeFill="background1"/>
            <w:noWrap/>
            <w:tcMar>
              <w:top w:w="75" w:type="dxa"/>
              <w:left w:w="75" w:type="dxa"/>
              <w:bottom w:w="75" w:type="dxa"/>
              <w:right w:w="75" w:type="dxa"/>
            </w:tcMar>
            <w:vAlign w:val="center"/>
          </w:tcPr>
          <w:p w14:paraId="41C8F396" w14:textId="7A06FED4" w:rsidR="00F55666" w:rsidRPr="00E91207" w:rsidRDefault="5B5DADB1">
            <w:pPr>
              <w:jc w:val="left"/>
              <w:rPr>
                <w:color w:val="auto"/>
                <w:szCs w:val="28"/>
              </w:rPr>
            </w:pPr>
            <w:r w:rsidRPr="00E91207">
              <w:rPr>
                <w:color w:val="auto"/>
                <w:szCs w:val="28"/>
              </w:rPr>
              <w:t>Ņemts vērā</w:t>
            </w:r>
          </w:p>
        </w:tc>
        <w:tc>
          <w:tcPr>
            <w:tcW w:w="3501" w:type="dxa"/>
            <w:shd w:val="clear" w:color="auto" w:fill="FFFFFF" w:themeFill="background1"/>
            <w:noWrap/>
            <w:tcMar>
              <w:top w:w="75" w:type="dxa"/>
              <w:left w:w="75" w:type="dxa"/>
              <w:bottom w:w="75" w:type="dxa"/>
              <w:right w:w="75" w:type="dxa"/>
            </w:tcMar>
            <w:vAlign w:val="center"/>
          </w:tcPr>
          <w:p w14:paraId="72A3D3EC" w14:textId="39B88B1D" w:rsidR="00F55666" w:rsidRPr="00E91207" w:rsidRDefault="5B5DADB1">
            <w:pPr>
              <w:jc w:val="left"/>
              <w:rPr>
                <w:color w:val="auto"/>
                <w:szCs w:val="28"/>
              </w:rPr>
            </w:pPr>
            <w:r w:rsidRPr="00E91207">
              <w:rPr>
                <w:color w:val="auto"/>
                <w:szCs w:val="28"/>
              </w:rPr>
              <w:t>Saņemts nesaskaņots atzinums TAP portālā saskaņošanas laikā.</w:t>
            </w:r>
          </w:p>
        </w:tc>
      </w:tr>
      <w:tr w:rsidR="00F55666" w:rsidRPr="00E91207" w14:paraId="3DD60D28" w14:textId="77777777" w:rsidTr="1A7EB404">
        <w:tc>
          <w:tcPr>
            <w:tcW w:w="750" w:type="dxa"/>
            <w:shd w:val="clear" w:color="auto" w:fill="FFFFFF" w:themeFill="background1"/>
            <w:noWrap/>
            <w:tcMar>
              <w:top w:w="75" w:type="dxa"/>
              <w:left w:w="75" w:type="dxa"/>
              <w:bottom w:w="75" w:type="dxa"/>
              <w:right w:w="75" w:type="dxa"/>
            </w:tcMar>
            <w:vAlign w:val="center"/>
          </w:tcPr>
          <w:p w14:paraId="56C72689" w14:textId="77777777" w:rsidR="00F55666" w:rsidRPr="00E91207" w:rsidRDefault="0009291F">
            <w:pPr>
              <w:jc w:val="center"/>
              <w:rPr>
                <w:color w:val="auto"/>
                <w:szCs w:val="28"/>
              </w:rPr>
            </w:pPr>
            <w:r w:rsidRPr="00E91207">
              <w:rPr>
                <w:color w:val="auto"/>
                <w:szCs w:val="28"/>
              </w:rPr>
              <w:t>5.</w:t>
            </w:r>
          </w:p>
        </w:tc>
        <w:tc>
          <w:tcPr>
            <w:tcW w:w="4055" w:type="dxa"/>
            <w:shd w:val="clear" w:color="auto" w:fill="FFFFFF" w:themeFill="background1"/>
            <w:noWrap/>
            <w:tcMar>
              <w:top w:w="75" w:type="dxa"/>
              <w:left w:w="75" w:type="dxa"/>
              <w:bottom w:w="75" w:type="dxa"/>
              <w:right w:w="75" w:type="dxa"/>
            </w:tcMar>
            <w:vAlign w:val="center"/>
          </w:tcPr>
          <w:p w14:paraId="294F7C97" w14:textId="77777777" w:rsidR="00F55666" w:rsidRPr="00E91207" w:rsidRDefault="0009291F">
            <w:pPr>
              <w:jc w:val="left"/>
              <w:rPr>
                <w:color w:val="auto"/>
                <w:szCs w:val="28"/>
              </w:rPr>
            </w:pPr>
            <w:r w:rsidRPr="00E91207">
              <w:rPr>
                <w:color w:val="auto"/>
                <w:szCs w:val="28"/>
              </w:rPr>
              <w:t>"Latvijas klīniskās neirofizioloģijas asociācija", Jānis Mednieks</w:t>
            </w:r>
          </w:p>
        </w:tc>
        <w:tc>
          <w:tcPr>
            <w:tcW w:w="4056" w:type="dxa"/>
            <w:shd w:val="clear" w:color="auto" w:fill="FFFFFF" w:themeFill="background1"/>
            <w:noWrap/>
            <w:tcMar>
              <w:top w:w="75" w:type="dxa"/>
              <w:left w:w="75" w:type="dxa"/>
              <w:bottom w:w="75" w:type="dxa"/>
              <w:right w:w="75" w:type="dxa"/>
            </w:tcMar>
            <w:vAlign w:val="center"/>
          </w:tcPr>
          <w:p w14:paraId="1C60E07E" w14:textId="77777777" w:rsidR="00F55666" w:rsidRPr="00E91207" w:rsidRDefault="0009291F">
            <w:pPr>
              <w:jc w:val="left"/>
              <w:rPr>
                <w:color w:val="auto"/>
                <w:szCs w:val="28"/>
              </w:rPr>
            </w:pPr>
            <w:r w:rsidRPr="00E91207">
              <w:rPr>
                <w:color w:val="auto"/>
                <w:szCs w:val="28"/>
              </w:rPr>
              <w:br/>
            </w:r>
            <w:r w:rsidR="2178D3D7" w:rsidRPr="00E91207">
              <w:rPr>
                <w:color w:val="auto"/>
                <w:szCs w:val="28"/>
              </w:rPr>
              <w:t> Latvijas Klīniskās neirofizioloģijas asociācija ( LKNA)  ir iepazinusies ar MK noteiktumu projekta “Kārtība, kādā izvērtē, reģistrē, ievieš un aktualizē klīniskās vadlīnijas, klīniskos algoritmus un klīniskos ceļus.” (25-TA-2392) un redz būtiskus trūkumus  plānotajā  MK noteikumu redakcijā.</w:t>
            </w:r>
            <w:r w:rsidRPr="00E91207">
              <w:rPr>
                <w:color w:val="auto"/>
                <w:szCs w:val="28"/>
              </w:rPr>
              <w:br/>
            </w:r>
            <w:r w:rsidR="2178D3D7" w:rsidRPr="00E91207">
              <w:rPr>
                <w:color w:val="auto"/>
                <w:szCs w:val="28"/>
              </w:rPr>
              <w:t xml:space="preserve">Kā būtiskāko  nepilnību LKNA  saredz  MK noteikumu </w:t>
            </w:r>
            <w:r w:rsidR="2178D3D7" w:rsidRPr="00E91207">
              <w:rPr>
                <w:color w:val="auto"/>
                <w:szCs w:val="28"/>
              </w:rPr>
              <w:lastRenderedPageBreak/>
              <w:t>projekta 3. pantu , kur  tiek norādīts, ka </w:t>
            </w:r>
            <w:r w:rsidRPr="00E91207">
              <w:rPr>
                <w:color w:val="auto"/>
                <w:szCs w:val="28"/>
              </w:rPr>
              <w:br/>
            </w:r>
            <w:r w:rsidR="2178D3D7" w:rsidRPr="00E91207">
              <w:rPr>
                <w:color w:val="auto"/>
                <w:szCs w:val="28"/>
              </w:rPr>
              <w:t>“Veselības aprūpes jomās, kurās ir izveidotas metodiskās vadības institūcijas, klīnisko vadlīniju, klīnisko algoritmu un klīnisko ceļu nepieciešamību vai aktualizāciju izvērtē metodiskās vadības institūcija attiecīgajā veselības aprūpes jomā.”</w:t>
            </w:r>
            <w:r w:rsidRPr="00E91207">
              <w:rPr>
                <w:color w:val="auto"/>
                <w:szCs w:val="28"/>
              </w:rPr>
              <w:br/>
            </w:r>
            <w:r w:rsidR="2178D3D7" w:rsidRPr="00E91207">
              <w:rPr>
                <w:color w:val="auto"/>
                <w:szCs w:val="28"/>
              </w:rPr>
              <w:t xml:space="preserve">Uzskatām, ka  gadījumā, ja MVI, kas ir saistītas ar konkrētu ārstniecības iestādi, iegūst eksluzīvas tiesības pārraudzīt savas jomas vadlīnijas, pastāv  būtisks risks, ka vadlīnijas atspoguļos   konkrētās ārstniecības iestādes  nevis  jomas profesionāļu vairuma  intereses. Jāatzīmē, ka profesionālās biedrības  atspoguļo dažādos apsākļos ( Rīga/ reģioni, ambulatori/ stacionāri ) strādājošu profesionāļu  viedokli.  Nav pamats uzskatīt, ka ārstu profesionālo organizāciju izstrādātās  klīniskās vadlīnijas varētu būt  zemākas kvalitātes, jo neatkarīgi no </w:t>
            </w:r>
            <w:r w:rsidR="2178D3D7" w:rsidRPr="00E91207">
              <w:rPr>
                <w:color w:val="auto"/>
                <w:szCs w:val="28"/>
              </w:rPr>
              <w:lastRenderedPageBreak/>
              <w:t>vadlīniju  izstrādātāja un virzītāja, tām ir jābūt pierādījumos balstītām. Kā arī būtiski atzīmēt, ka vairums no no ārstu profesionālajām organizācijām pārstāv  attiecīgas jomas starptautiskās organizācijas un tādējādi nepieciešamības gadījumā var nodrošināt starptautiskās prakses un vadlīniju efektīvu implementāciju Latvijā. </w:t>
            </w:r>
            <w:r w:rsidRPr="00E91207">
              <w:rPr>
                <w:color w:val="auto"/>
                <w:szCs w:val="28"/>
              </w:rPr>
              <w:br/>
            </w:r>
            <w:r w:rsidR="2178D3D7" w:rsidRPr="00E91207">
              <w:rPr>
                <w:color w:val="auto"/>
                <w:szCs w:val="28"/>
              </w:rPr>
              <w:t>Tāpat arī LKNA uzskata, ka būtu jāparedz kārtība,  kā tiek uzklausīts uzpacientu organizāciju viedoklis  vadlīniju izstrādes procesā. </w:t>
            </w:r>
            <w:r w:rsidRPr="00E91207">
              <w:rPr>
                <w:color w:val="auto"/>
                <w:szCs w:val="28"/>
              </w:rPr>
              <w:br/>
            </w:r>
            <w:r w:rsidR="2178D3D7" w:rsidRPr="00E91207">
              <w:rPr>
                <w:color w:val="auto"/>
                <w:szCs w:val="28"/>
              </w:rPr>
              <w:t>Lūdzam  pārstādāt MK noteikumu projektu, lai novērstu mūsu biedrības minētos trūkumus tajā.</w:t>
            </w:r>
            <w:r w:rsidRPr="00E91207">
              <w:rPr>
                <w:color w:val="auto"/>
                <w:szCs w:val="28"/>
              </w:rPr>
              <w:br/>
            </w:r>
          </w:p>
        </w:tc>
        <w:tc>
          <w:tcPr>
            <w:tcW w:w="2205" w:type="dxa"/>
            <w:shd w:val="clear" w:color="auto" w:fill="FFFFFF" w:themeFill="background1"/>
            <w:noWrap/>
            <w:tcMar>
              <w:top w:w="75" w:type="dxa"/>
              <w:left w:w="75" w:type="dxa"/>
              <w:bottom w:w="75" w:type="dxa"/>
              <w:right w:w="75" w:type="dxa"/>
            </w:tcMar>
            <w:vAlign w:val="center"/>
          </w:tcPr>
          <w:p w14:paraId="0D0B940D" w14:textId="685DE364" w:rsidR="00F55666" w:rsidRPr="00E91207" w:rsidRDefault="6503B89F">
            <w:pPr>
              <w:jc w:val="left"/>
              <w:rPr>
                <w:color w:val="auto"/>
                <w:szCs w:val="28"/>
              </w:rPr>
            </w:pPr>
            <w:r w:rsidRPr="00E91207">
              <w:rPr>
                <w:color w:val="auto"/>
                <w:szCs w:val="28"/>
              </w:rPr>
              <w:lastRenderedPageBreak/>
              <w:t>Nav ņemts vērā</w:t>
            </w:r>
          </w:p>
        </w:tc>
        <w:tc>
          <w:tcPr>
            <w:tcW w:w="3501" w:type="dxa"/>
            <w:shd w:val="clear" w:color="auto" w:fill="FFFFFF" w:themeFill="background1"/>
            <w:noWrap/>
            <w:tcMar>
              <w:top w:w="75" w:type="dxa"/>
              <w:left w:w="75" w:type="dxa"/>
              <w:bottom w:w="75" w:type="dxa"/>
              <w:right w:w="75" w:type="dxa"/>
            </w:tcMar>
            <w:vAlign w:val="center"/>
          </w:tcPr>
          <w:p w14:paraId="5285775F" w14:textId="434A078E" w:rsidR="00F55666" w:rsidRPr="00E91207" w:rsidRDefault="6503B89F" w:rsidP="1A7EB404">
            <w:pPr>
              <w:spacing w:line="259" w:lineRule="auto"/>
              <w:rPr>
                <w:color w:val="auto"/>
                <w:szCs w:val="28"/>
              </w:rPr>
            </w:pPr>
            <w:r w:rsidRPr="00E91207">
              <w:rPr>
                <w:color w:val="auto"/>
                <w:szCs w:val="28"/>
              </w:rPr>
              <w:t xml:space="preserve">Veselības ministrija norāda, ka LKNA paustie apsvērumi pēc būtības skar ne tikai konkrēto tiesību akta projektu, bet metodiskās vadības institūta konceptu un tā darbības modeli kopumā, kas pārsniedz šī noteikumu projekta tvērumu. Metodiskās vadības institūcija savu darbu īsteno saskaņā ar Ministru kabineta 2024.gada </w:t>
            </w:r>
            <w:r w:rsidRPr="00E91207">
              <w:rPr>
                <w:color w:val="auto"/>
                <w:szCs w:val="28"/>
              </w:rPr>
              <w:lastRenderedPageBreak/>
              <w:t xml:space="preserve">13.augusta noteikumiem 543 "Metodiskās vadības institūcijas noetikumi", atbilstoši šiem noteikumiem 6.1. apakšpunkts norāda, ka metodiskās vadības institūcijai ir tiesības normatīvajos aktos noteiktajā kārtībā izvērtēt un aktualizēt klīniskās vadlīnijas, klīniskos algoritmus un klīniskos ceļus savas kompetences ietvaros, savukārt 7.2. apakšpunkts paredz pienākumu izstrādāt vienotos profilakses, diagnostikas un , ārstēšanas un tās pēctecības principus un veicināt to ieviešanu, bet 7.10. apakšpunkts nosaka pienākumu sadarboties ar ārstniecības personu profesionālajām organizācijām. Veselības ministrija norāda, ka metodiskās vadības institūcijas īsteno normatīvos </w:t>
            </w:r>
            <w:r w:rsidRPr="00E91207">
              <w:rPr>
                <w:color w:val="auto"/>
                <w:szCs w:val="28"/>
              </w:rPr>
              <w:lastRenderedPageBreak/>
              <w:t xml:space="preserve">aktos noteiktās funkcijas metodiskās koordinācijas un kvalitātes pārraudzības ietvaros, bet nedarbojas kā profesionālās darbības regulējoša institūcija. Attiecībā uz paustajām bažām par profesionālo asociāciju tiesībām izstrādāt klīniskās vadlīnijas vai algoritmus, norādām, ka spēkā esošais normatīvais regulējums neparedz profesionālo organizāciju tiešu ierobežojumu izstrādāt nozares dokumentus savas kompetences ietvaros. Vienlaikus normatīvais regulējums paredz, ka klīnisko vadlīniju izvērtēšana un aktualizācijas koordinēšana metodiskās vadības jomā ir metodiskās vadības institūcijas  funkcija, lai nodrošinātu sistēmisku, pierādījumos balstītu un </w:t>
            </w:r>
            <w:r w:rsidRPr="00E91207">
              <w:rPr>
                <w:color w:val="auto"/>
                <w:szCs w:val="28"/>
              </w:rPr>
              <w:lastRenderedPageBreak/>
              <w:t xml:space="preserve">valstiski saskaņotu pieeju. Šāda koordinējoša funkcija ir vērsta uz kvalitātes pārraudzību un vienotu principu nodrošināšanu, nevis jebkāda veida profesionālās pašnoteikšanās ierobežošanu. Kā norādīts jau iepriekš, normatīvais regulējums esošais normatīvais regulējums neparedz profesionālo organizāciju tiešu ierobežojumu izstrādāt nozares dokumentus savas kompetences ietvaros. Kā norādīts jau iepriekš, normatīvais regulējums jau šobrīd ietver pienākumu metodisko vadību institūcijām nodrošināt profesionālo asociāciju un citu nozares pārstāvju iesaisti. Tādējādi secināms, ka metodisko vadības institūciju  darbības modelis ir balstīts uz ekspertu piesaisti un </w:t>
            </w:r>
            <w:r w:rsidRPr="00E91207">
              <w:rPr>
                <w:color w:val="auto"/>
                <w:szCs w:val="28"/>
              </w:rPr>
              <w:lastRenderedPageBreak/>
              <w:t xml:space="preserve">sadarbību, nevis centralizētu un izolētu lēmumu pieņemšanu. Noslēgumā uzsveram, ka metodisko vadības institūciju funkcija ir metodiskā koordinācija un kvalitātes pārraudzība, nodrošinot pierādījumos balstītu un starpdisciplināru pieeju. Profesionālo asociāciju iesaiste un sadarbība ir neatņemama šīs funkcijas sastāvdaļa.  </w:t>
            </w:r>
          </w:p>
          <w:p w14:paraId="1C1D0114" w14:textId="418A0A33" w:rsidR="00F55666" w:rsidRPr="00E91207" w:rsidRDefault="05EB7ED2" w:rsidP="1A7EB404">
            <w:pPr>
              <w:spacing w:line="259" w:lineRule="auto"/>
              <w:rPr>
                <w:color w:val="auto"/>
                <w:szCs w:val="28"/>
              </w:rPr>
            </w:pPr>
            <w:r w:rsidRPr="00E91207">
              <w:rPr>
                <w:color w:val="auto"/>
                <w:szCs w:val="28"/>
              </w:rPr>
              <w:t xml:space="preserve">Skaidrojam, ka klīnisko vadlīniju, klīnisko algoritmu un klīnisko ceļu funkciju īstenošana primāri balstās uz ārstniecības personu profesionālo kompetenci un zinātniskiem pierādījumiem. Vienlaikus pacientu līdzdalība veselības politikas veidošanā un normatīvā regulējuma izstrādē tiek nodrošināta citos līmeņos un formātos, tostarp </w:t>
            </w:r>
            <w:r w:rsidRPr="00E91207">
              <w:rPr>
                <w:color w:val="auto"/>
                <w:szCs w:val="28"/>
              </w:rPr>
              <w:lastRenderedPageBreak/>
              <w:t xml:space="preserve">sabiedriskajās apspriešanās, pacientu organizāciju līdzdalībā konsultatīvajās padomēs un darba grupās, kā arī veselības politikas plānošanas dokumentu izstrādes un saskaņošanas procesā, turklāt metodiskās vadības institūciju izstrādātie nodevumi </w:t>
            </w:r>
            <w:r w:rsidR="380FBD50" w:rsidRPr="00E91207">
              <w:rPr>
                <w:color w:val="auto"/>
                <w:szCs w:val="28"/>
              </w:rPr>
              <w:t xml:space="preserve">bieži </w:t>
            </w:r>
            <w:r w:rsidRPr="00E91207">
              <w:rPr>
                <w:color w:val="auto"/>
                <w:szCs w:val="28"/>
              </w:rPr>
              <w:t xml:space="preserve">tiek sūtīti saskaņošanai arī pacientus pārstāvošajām organizācijām.  </w:t>
            </w:r>
          </w:p>
          <w:p w14:paraId="79C10CEC" w14:textId="4C95F657" w:rsidR="00F55666" w:rsidRPr="00E91207" w:rsidRDefault="6503B89F" w:rsidP="1A7EB404">
            <w:pPr>
              <w:spacing w:line="259" w:lineRule="auto"/>
              <w:rPr>
                <w:color w:val="auto"/>
                <w:szCs w:val="28"/>
                <w:lang w:val="en-GB"/>
              </w:rPr>
            </w:pPr>
            <w:r w:rsidRPr="00E91207">
              <w:rPr>
                <w:color w:val="auto"/>
                <w:szCs w:val="28"/>
              </w:rPr>
              <w:t>Ņemot vērā minēto, ministrija neuzskata par pamatotu mainīt 3. un 4. punktā minēto, jo ārstu profesionālām organizācij</w:t>
            </w:r>
            <w:r w:rsidR="1244DF9B" w:rsidRPr="00E91207">
              <w:rPr>
                <w:color w:val="auto"/>
                <w:szCs w:val="28"/>
              </w:rPr>
              <w:t>as</w:t>
            </w:r>
            <w:r w:rsidRPr="00E91207">
              <w:rPr>
                <w:color w:val="auto"/>
                <w:szCs w:val="28"/>
              </w:rPr>
              <w:t xml:space="preserve">, ārstniecības profesionāļi var sadarboties ar metodiskās vadības institūciju un izstrādāt klīniskās vadlīnijas, klīnisko algoritmus un klīniskos ceļus.    </w:t>
            </w:r>
          </w:p>
          <w:p w14:paraId="0E27B00A" w14:textId="5EB550C4" w:rsidR="00F55666" w:rsidRPr="00E91207" w:rsidRDefault="00F55666" w:rsidP="1A7EB404">
            <w:pPr>
              <w:jc w:val="left"/>
              <w:rPr>
                <w:color w:val="auto"/>
                <w:szCs w:val="28"/>
              </w:rPr>
            </w:pPr>
          </w:p>
        </w:tc>
      </w:tr>
    </w:tbl>
    <w:p w14:paraId="60061E4C" w14:textId="77777777" w:rsidR="00F55666" w:rsidRPr="00E91207" w:rsidRDefault="00F55666">
      <w:pPr>
        <w:rPr>
          <w:color w:val="auto"/>
          <w:szCs w:val="28"/>
        </w:rPr>
      </w:pPr>
    </w:p>
    <w:tbl>
      <w:tblPr>
        <w:tblStyle w:val="a"/>
        <w:tblW w:w="14567" w:type="dxa"/>
        <w:tblLayout w:type="fixed"/>
        <w:tblLook w:val="0600" w:firstRow="0" w:lastRow="0" w:firstColumn="0" w:lastColumn="0" w:noHBand="1" w:noVBand="1"/>
      </w:tblPr>
      <w:tblGrid>
        <w:gridCol w:w="4855"/>
        <w:gridCol w:w="4856"/>
        <w:gridCol w:w="4856"/>
      </w:tblGrid>
      <w:tr w:rsidR="00F55666" w:rsidRPr="00E91207" w14:paraId="2C4D3246" w14:textId="77777777">
        <w:tc>
          <w:tcPr>
            <w:tcW w:w="4855" w:type="dxa"/>
            <w:shd w:val="clear" w:color="auto" w:fill="FFFFFF"/>
            <w:noWrap/>
            <w:tcMar>
              <w:top w:w="75" w:type="dxa"/>
              <w:left w:w="75" w:type="dxa"/>
              <w:bottom w:w="75" w:type="dxa"/>
              <w:right w:w="75" w:type="dxa"/>
            </w:tcMar>
            <w:vAlign w:val="center"/>
          </w:tcPr>
          <w:p w14:paraId="3D65C14E" w14:textId="77777777" w:rsidR="00F55666" w:rsidRPr="00E91207" w:rsidRDefault="0009291F">
            <w:pPr>
              <w:jc w:val="left"/>
              <w:rPr>
                <w:color w:val="auto"/>
                <w:szCs w:val="28"/>
              </w:rPr>
            </w:pPr>
            <w:r w:rsidRPr="00E91207">
              <w:rPr>
                <w:color w:val="auto"/>
                <w:szCs w:val="28"/>
              </w:rPr>
              <w:t>Datums**</w:t>
            </w:r>
          </w:p>
        </w:tc>
        <w:tc>
          <w:tcPr>
            <w:tcW w:w="4856" w:type="dxa"/>
            <w:shd w:val="clear" w:color="auto" w:fill="FFFFFF"/>
            <w:noWrap/>
            <w:tcMar>
              <w:top w:w="75" w:type="dxa"/>
              <w:left w:w="75" w:type="dxa"/>
              <w:bottom w:w="75" w:type="dxa"/>
              <w:right w:w="75" w:type="dxa"/>
            </w:tcMar>
            <w:vAlign w:val="center"/>
          </w:tcPr>
          <w:p w14:paraId="44EAFD9C" w14:textId="6794CCC4" w:rsidR="00F55666" w:rsidRPr="00E91207" w:rsidRDefault="001A70B7">
            <w:pPr>
              <w:pBdr>
                <w:bottom w:val="single" w:sz="10" w:space="1" w:color="000000"/>
              </w:pBdr>
              <w:rPr>
                <w:color w:val="auto"/>
                <w:szCs w:val="28"/>
              </w:rPr>
            </w:pPr>
            <w:r>
              <w:rPr>
                <w:color w:val="auto"/>
                <w:szCs w:val="28"/>
              </w:rPr>
              <w:t>28.05.2026.</w:t>
            </w:r>
          </w:p>
        </w:tc>
        <w:tc>
          <w:tcPr>
            <w:tcW w:w="4856" w:type="dxa"/>
            <w:shd w:val="clear" w:color="auto" w:fill="FFFFFF"/>
            <w:noWrap/>
            <w:tcMar>
              <w:top w:w="75" w:type="dxa"/>
              <w:left w:w="75" w:type="dxa"/>
              <w:bottom w:w="75" w:type="dxa"/>
              <w:right w:w="75" w:type="dxa"/>
            </w:tcMar>
            <w:vAlign w:val="center"/>
          </w:tcPr>
          <w:p w14:paraId="4B94D5A5" w14:textId="77777777" w:rsidR="00F55666" w:rsidRPr="00E91207" w:rsidRDefault="00F55666">
            <w:pPr>
              <w:rPr>
                <w:color w:val="auto"/>
                <w:szCs w:val="28"/>
              </w:rPr>
            </w:pPr>
          </w:p>
        </w:tc>
      </w:tr>
      <w:tr w:rsidR="00F55666" w:rsidRPr="00E91207" w14:paraId="0292DD2C" w14:textId="77777777">
        <w:tc>
          <w:tcPr>
            <w:tcW w:w="4855" w:type="dxa"/>
            <w:shd w:val="clear" w:color="auto" w:fill="FFFFFF"/>
            <w:noWrap/>
            <w:tcMar>
              <w:top w:w="75" w:type="dxa"/>
              <w:left w:w="75" w:type="dxa"/>
              <w:bottom w:w="75" w:type="dxa"/>
              <w:right w:w="75" w:type="dxa"/>
            </w:tcMar>
            <w:vAlign w:val="center"/>
          </w:tcPr>
          <w:p w14:paraId="3DEEC669" w14:textId="77777777" w:rsidR="00F55666" w:rsidRPr="00E91207" w:rsidRDefault="00F55666">
            <w:pPr>
              <w:rPr>
                <w:color w:val="auto"/>
                <w:szCs w:val="28"/>
              </w:rPr>
            </w:pPr>
          </w:p>
        </w:tc>
        <w:tc>
          <w:tcPr>
            <w:tcW w:w="4856" w:type="dxa"/>
            <w:shd w:val="clear" w:color="auto" w:fill="FFFFFF"/>
            <w:noWrap/>
            <w:tcMar>
              <w:top w:w="75" w:type="dxa"/>
              <w:left w:w="75" w:type="dxa"/>
              <w:bottom w:w="75" w:type="dxa"/>
              <w:right w:w="75" w:type="dxa"/>
            </w:tcMar>
            <w:vAlign w:val="center"/>
          </w:tcPr>
          <w:p w14:paraId="19D6DDD0" w14:textId="77777777" w:rsidR="00F55666" w:rsidRPr="00E91207" w:rsidRDefault="0009291F">
            <w:pPr>
              <w:jc w:val="center"/>
              <w:rPr>
                <w:color w:val="auto"/>
                <w:szCs w:val="28"/>
              </w:rPr>
            </w:pPr>
            <w:r w:rsidRPr="00E91207">
              <w:rPr>
                <w:color w:val="auto"/>
                <w:szCs w:val="28"/>
              </w:rPr>
              <w:t>(dd.mm.gggg)</w:t>
            </w:r>
          </w:p>
        </w:tc>
        <w:tc>
          <w:tcPr>
            <w:tcW w:w="4856" w:type="dxa"/>
            <w:shd w:val="clear" w:color="auto" w:fill="FFFFFF"/>
            <w:noWrap/>
            <w:tcMar>
              <w:top w:w="75" w:type="dxa"/>
              <w:left w:w="75" w:type="dxa"/>
              <w:bottom w:w="75" w:type="dxa"/>
              <w:right w:w="75" w:type="dxa"/>
            </w:tcMar>
            <w:vAlign w:val="center"/>
          </w:tcPr>
          <w:p w14:paraId="3656B9AB" w14:textId="77777777" w:rsidR="00F55666" w:rsidRPr="00E91207" w:rsidRDefault="00F55666">
            <w:pPr>
              <w:rPr>
                <w:color w:val="auto"/>
                <w:szCs w:val="28"/>
              </w:rPr>
            </w:pPr>
          </w:p>
        </w:tc>
      </w:tr>
      <w:tr w:rsidR="00F55666" w:rsidRPr="00E91207" w14:paraId="7A0B6A7B" w14:textId="77777777">
        <w:tc>
          <w:tcPr>
            <w:tcW w:w="4855" w:type="dxa"/>
            <w:shd w:val="clear" w:color="auto" w:fill="FFFFFF"/>
            <w:noWrap/>
            <w:tcMar>
              <w:top w:w="75" w:type="dxa"/>
              <w:left w:w="75" w:type="dxa"/>
              <w:bottom w:w="75" w:type="dxa"/>
              <w:right w:w="75" w:type="dxa"/>
            </w:tcMar>
            <w:vAlign w:val="center"/>
          </w:tcPr>
          <w:p w14:paraId="026348C1" w14:textId="77777777" w:rsidR="00F55666" w:rsidRPr="00E91207" w:rsidRDefault="0009291F">
            <w:pPr>
              <w:jc w:val="left"/>
              <w:rPr>
                <w:color w:val="auto"/>
                <w:szCs w:val="28"/>
              </w:rPr>
            </w:pPr>
            <w:r w:rsidRPr="00E91207">
              <w:rPr>
                <w:color w:val="auto"/>
                <w:szCs w:val="28"/>
              </w:rPr>
              <w:t>Atbildīgā persona</w:t>
            </w:r>
          </w:p>
        </w:tc>
        <w:tc>
          <w:tcPr>
            <w:tcW w:w="4856" w:type="dxa"/>
            <w:shd w:val="clear" w:color="auto" w:fill="FFFFFF"/>
            <w:noWrap/>
            <w:tcMar>
              <w:top w:w="75" w:type="dxa"/>
              <w:left w:w="75" w:type="dxa"/>
              <w:bottom w:w="75" w:type="dxa"/>
              <w:right w:w="75" w:type="dxa"/>
            </w:tcMar>
            <w:vAlign w:val="center"/>
          </w:tcPr>
          <w:p w14:paraId="45FB0818" w14:textId="60A943E3" w:rsidR="00F55666" w:rsidRPr="00E91207" w:rsidRDefault="001A70B7">
            <w:pPr>
              <w:pBdr>
                <w:bottom w:val="single" w:sz="10" w:space="1" w:color="000000"/>
              </w:pBdr>
              <w:rPr>
                <w:color w:val="auto"/>
                <w:szCs w:val="28"/>
              </w:rPr>
            </w:pPr>
            <w:r>
              <w:rPr>
                <w:color w:val="auto"/>
                <w:szCs w:val="28"/>
              </w:rPr>
              <w:t>Lāsma Kunkule-Martēna</w:t>
            </w:r>
          </w:p>
        </w:tc>
        <w:tc>
          <w:tcPr>
            <w:tcW w:w="4856" w:type="dxa"/>
            <w:shd w:val="clear" w:color="auto" w:fill="FFFFFF"/>
            <w:noWrap/>
            <w:tcMar>
              <w:top w:w="75" w:type="dxa"/>
              <w:left w:w="75" w:type="dxa"/>
              <w:bottom w:w="75" w:type="dxa"/>
              <w:right w:w="75" w:type="dxa"/>
            </w:tcMar>
            <w:vAlign w:val="center"/>
          </w:tcPr>
          <w:p w14:paraId="049F31CB" w14:textId="77777777" w:rsidR="00F55666" w:rsidRPr="00E91207" w:rsidRDefault="00F55666">
            <w:pPr>
              <w:rPr>
                <w:color w:val="auto"/>
                <w:szCs w:val="28"/>
              </w:rPr>
            </w:pPr>
          </w:p>
        </w:tc>
      </w:tr>
      <w:tr w:rsidR="00F55666" w:rsidRPr="00E91207" w14:paraId="6D6E875E" w14:textId="77777777">
        <w:tc>
          <w:tcPr>
            <w:tcW w:w="4855" w:type="dxa"/>
            <w:shd w:val="clear" w:color="auto" w:fill="FFFFFF"/>
            <w:noWrap/>
            <w:tcMar>
              <w:top w:w="75" w:type="dxa"/>
              <w:left w:w="75" w:type="dxa"/>
              <w:bottom w:w="75" w:type="dxa"/>
              <w:right w:w="75" w:type="dxa"/>
            </w:tcMar>
            <w:vAlign w:val="center"/>
          </w:tcPr>
          <w:p w14:paraId="53128261" w14:textId="77777777" w:rsidR="00F55666" w:rsidRPr="00E91207" w:rsidRDefault="00F55666">
            <w:pPr>
              <w:rPr>
                <w:color w:val="auto"/>
                <w:szCs w:val="28"/>
              </w:rPr>
            </w:pPr>
          </w:p>
        </w:tc>
        <w:tc>
          <w:tcPr>
            <w:tcW w:w="4856" w:type="dxa"/>
            <w:shd w:val="clear" w:color="auto" w:fill="FFFFFF"/>
            <w:noWrap/>
            <w:tcMar>
              <w:top w:w="75" w:type="dxa"/>
              <w:left w:w="75" w:type="dxa"/>
              <w:bottom w:w="75" w:type="dxa"/>
              <w:right w:w="75" w:type="dxa"/>
            </w:tcMar>
            <w:vAlign w:val="center"/>
          </w:tcPr>
          <w:p w14:paraId="28CA92EF" w14:textId="77777777" w:rsidR="00F55666" w:rsidRPr="00E91207" w:rsidRDefault="0009291F">
            <w:pPr>
              <w:jc w:val="center"/>
              <w:rPr>
                <w:color w:val="auto"/>
                <w:szCs w:val="28"/>
              </w:rPr>
            </w:pPr>
            <w:r w:rsidRPr="00E91207">
              <w:rPr>
                <w:color w:val="auto"/>
                <w:szCs w:val="28"/>
              </w:rPr>
              <w:t>(vārds, uzvārds, paraksts**)</w:t>
            </w:r>
          </w:p>
        </w:tc>
        <w:tc>
          <w:tcPr>
            <w:tcW w:w="4856" w:type="dxa"/>
            <w:shd w:val="clear" w:color="auto" w:fill="FFFFFF"/>
            <w:noWrap/>
            <w:tcMar>
              <w:top w:w="75" w:type="dxa"/>
              <w:left w:w="75" w:type="dxa"/>
              <w:bottom w:w="75" w:type="dxa"/>
              <w:right w:w="75" w:type="dxa"/>
            </w:tcMar>
            <w:vAlign w:val="center"/>
          </w:tcPr>
          <w:p w14:paraId="62486C05" w14:textId="77777777" w:rsidR="00F55666" w:rsidRPr="00E91207" w:rsidRDefault="00F55666">
            <w:pPr>
              <w:rPr>
                <w:color w:val="auto"/>
                <w:szCs w:val="28"/>
              </w:rPr>
            </w:pPr>
          </w:p>
        </w:tc>
      </w:tr>
    </w:tbl>
    <w:p w14:paraId="4101652C" w14:textId="77777777" w:rsidR="00F55666" w:rsidRPr="00E91207" w:rsidRDefault="00F55666">
      <w:pPr>
        <w:rPr>
          <w:color w:val="auto"/>
          <w:szCs w:val="28"/>
        </w:rPr>
      </w:pPr>
    </w:p>
    <w:p w14:paraId="3D262E44" w14:textId="77777777" w:rsidR="00F55666" w:rsidRPr="00E91207" w:rsidRDefault="0009291F">
      <w:pPr>
        <w:rPr>
          <w:color w:val="auto"/>
          <w:szCs w:val="28"/>
        </w:rPr>
      </w:pPr>
      <w:r w:rsidRPr="00E91207">
        <w:rPr>
          <w:color w:val="auto"/>
          <w:szCs w:val="28"/>
        </w:rPr>
        <w:t>Piezīmes.</w:t>
      </w:r>
    </w:p>
    <w:p w14:paraId="33E84DC0" w14:textId="77777777" w:rsidR="00F55666" w:rsidRPr="00E91207" w:rsidRDefault="0009291F">
      <w:pPr>
        <w:rPr>
          <w:color w:val="auto"/>
          <w:szCs w:val="28"/>
        </w:rPr>
      </w:pPr>
      <w:r w:rsidRPr="00E91207">
        <w:rPr>
          <w:color w:val="auto"/>
          <w:szCs w:val="28"/>
        </w:rPr>
        <w:t>* Iesniedzējs (fiziskai personai – vārds, uzvārds, juridiskai personai – nosaukums) var tikt publiskots, ja viņš tam ir piekritis. Ja attiecināms, iesniedzējs norāda interešu pārstāvja reģistrācijas numuru.</w:t>
      </w:r>
    </w:p>
    <w:p w14:paraId="3C694BEC" w14:textId="77777777" w:rsidR="00F55666" w:rsidRPr="00E91207" w:rsidRDefault="0009291F">
      <w:pPr>
        <w:rPr>
          <w:color w:val="auto"/>
          <w:szCs w:val="28"/>
        </w:rPr>
      </w:pPr>
      <w:r w:rsidRPr="00E91207">
        <w:rPr>
          <w:color w:val="auto"/>
          <w:szCs w:val="28"/>
        </w:rPr>
        <w:t>** Dokumenta rekvizītus "datums" un "paraksts" neaizpilda, ja elektroniskais dokuments ir sagatavots atbilstoši normatīvajiem aktiem par elektronisko dokumentu noformēšanu.</w:t>
      </w:r>
    </w:p>
    <w:sectPr w:rsidR="00F55666" w:rsidRPr="00E91207">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323D8" w14:textId="77777777" w:rsidR="00401F7F" w:rsidRDefault="00401F7F">
      <w:r>
        <w:separator/>
      </w:r>
    </w:p>
  </w:endnote>
  <w:endnote w:type="continuationSeparator" w:id="0">
    <w:p w14:paraId="1856D179" w14:textId="77777777" w:rsidR="00401F7F" w:rsidRDefault="0040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3EC51DAD" w:rsidR="00F55666" w:rsidRDefault="0009291F">
    <w:pPr>
      <w:jc w:val="right"/>
    </w:pPr>
    <w:r>
      <w:rPr>
        <w:sz w:val="24"/>
        <w:szCs w:val="24"/>
      </w:rPr>
      <w:fldChar w:fldCharType="begin"/>
    </w:r>
    <w:r>
      <w:rPr>
        <w:sz w:val="24"/>
        <w:szCs w:val="24"/>
      </w:rPr>
      <w:instrText>PAGE</w:instrText>
    </w:r>
    <w:r w:rsidR="00B54BD7">
      <w:rPr>
        <w:sz w:val="24"/>
        <w:szCs w:val="24"/>
      </w:rPr>
      <w:fldChar w:fldCharType="separate"/>
    </w:r>
    <w:r w:rsidR="00B54BD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06A8" w14:textId="77777777" w:rsidR="0009291F" w:rsidRDefault="0009291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2FBEC" w14:textId="77777777" w:rsidR="00401F7F" w:rsidRDefault="00401F7F">
      <w:r>
        <w:separator/>
      </w:r>
    </w:p>
  </w:footnote>
  <w:footnote w:type="continuationSeparator" w:id="0">
    <w:p w14:paraId="25EBBCDD" w14:textId="77777777" w:rsidR="00401F7F" w:rsidRDefault="00401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CAC3" w14:textId="77777777" w:rsidR="00F55666" w:rsidRDefault="0009291F">
    <w:pPr>
      <w:pStyle w:val="Header"/>
      <w:contextualSpacing w:val="0"/>
    </w:pPr>
    <w:r>
      <w:t>Viedokļu pārskats 25-TA-2392</w:t>
    </w:r>
    <w:r>
      <w:br/>
      <w:t>Izdrukāts 12.05.2026. 10.49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D58E" w14:textId="77777777" w:rsidR="00F55666" w:rsidRDefault="0009291F">
    <w:pPr>
      <w:pStyle w:val="Header"/>
      <w:contextualSpacing w:val="0"/>
    </w:pPr>
    <w:r>
      <w:t>Viedokļu pārskats 25-TA-2392</w:t>
    </w:r>
    <w:r>
      <w:br/>
      <w:t>Izdrukāts 12.05.2026. 10.49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66"/>
    <w:rsid w:val="00065071"/>
    <w:rsid w:val="0009291F"/>
    <w:rsid w:val="000E3CCE"/>
    <w:rsid w:val="001A70B7"/>
    <w:rsid w:val="00234F79"/>
    <w:rsid w:val="00401F7F"/>
    <w:rsid w:val="005916BC"/>
    <w:rsid w:val="009604F0"/>
    <w:rsid w:val="009E0402"/>
    <w:rsid w:val="00B54BD7"/>
    <w:rsid w:val="00E91207"/>
    <w:rsid w:val="00EB71F5"/>
    <w:rsid w:val="00F55666"/>
    <w:rsid w:val="01A156F9"/>
    <w:rsid w:val="020D0BAD"/>
    <w:rsid w:val="0254F789"/>
    <w:rsid w:val="0326052F"/>
    <w:rsid w:val="038908E6"/>
    <w:rsid w:val="04945B69"/>
    <w:rsid w:val="05EB7ED2"/>
    <w:rsid w:val="06E2DFB9"/>
    <w:rsid w:val="0725F925"/>
    <w:rsid w:val="0800241E"/>
    <w:rsid w:val="0803D5D5"/>
    <w:rsid w:val="09254CAA"/>
    <w:rsid w:val="0A81320D"/>
    <w:rsid w:val="0C2C859D"/>
    <w:rsid w:val="0D4E778D"/>
    <w:rsid w:val="0F255543"/>
    <w:rsid w:val="0FBE72E1"/>
    <w:rsid w:val="0FEB76B2"/>
    <w:rsid w:val="1188CF9E"/>
    <w:rsid w:val="11E20981"/>
    <w:rsid w:val="1244DF9B"/>
    <w:rsid w:val="1485B121"/>
    <w:rsid w:val="15D72C91"/>
    <w:rsid w:val="1831A533"/>
    <w:rsid w:val="190734D2"/>
    <w:rsid w:val="1A7EB404"/>
    <w:rsid w:val="1ACC53B9"/>
    <w:rsid w:val="1AE2DE16"/>
    <w:rsid w:val="1AF145DB"/>
    <w:rsid w:val="1D357414"/>
    <w:rsid w:val="1D4DBEE4"/>
    <w:rsid w:val="1E8382B1"/>
    <w:rsid w:val="2166A9A4"/>
    <w:rsid w:val="2178D3D7"/>
    <w:rsid w:val="21EADC87"/>
    <w:rsid w:val="22B7C2FB"/>
    <w:rsid w:val="22B928D3"/>
    <w:rsid w:val="243E7B71"/>
    <w:rsid w:val="25824769"/>
    <w:rsid w:val="2655AF1E"/>
    <w:rsid w:val="2689B911"/>
    <w:rsid w:val="26E99355"/>
    <w:rsid w:val="27BF25E6"/>
    <w:rsid w:val="28A429B2"/>
    <w:rsid w:val="2A11ED62"/>
    <w:rsid w:val="308A60AF"/>
    <w:rsid w:val="318FB8D5"/>
    <w:rsid w:val="323093F0"/>
    <w:rsid w:val="33084D3F"/>
    <w:rsid w:val="345447F4"/>
    <w:rsid w:val="35D1C541"/>
    <w:rsid w:val="367D8734"/>
    <w:rsid w:val="369F923C"/>
    <w:rsid w:val="372CB2A8"/>
    <w:rsid w:val="37AF47D7"/>
    <w:rsid w:val="380FBD50"/>
    <w:rsid w:val="3811A7FC"/>
    <w:rsid w:val="3CE1717A"/>
    <w:rsid w:val="3EF9269B"/>
    <w:rsid w:val="3FAA9F26"/>
    <w:rsid w:val="40A77CAB"/>
    <w:rsid w:val="40AB3A5E"/>
    <w:rsid w:val="41ECE0AC"/>
    <w:rsid w:val="42C28F21"/>
    <w:rsid w:val="42CAF029"/>
    <w:rsid w:val="42EC37CA"/>
    <w:rsid w:val="44940CC2"/>
    <w:rsid w:val="44B60754"/>
    <w:rsid w:val="45C9D448"/>
    <w:rsid w:val="46AD3123"/>
    <w:rsid w:val="46BA99C5"/>
    <w:rsid w:val="4792A2B1"/>
    <w:rsid w:val="48E32332"/>
    <w:rsid w:val="499DC98A"/>
    <w:rsid w:val="4A64359E"/>
    <w:rsid w:val="4E023E54"/>
    <w:rsid w:val="4FA9D531"/>
    <w:rsid w:val="51CF2E52"/>
    <w:rsid w:val="527189E5"/>
    <w:rsid w:val="52BC29CB"/>
    <w:rsid w:val="534C0C47"/>
    <w:rsid w:val="540AB3DD"/>
    <w:rsid w:val="54975297"/>
    <w:rsid w:val="54A2D93A"/>
    <w:rsid w:val="54FD12A0"/>
    <w:rsid w:val="55956B8F"/>
    <w:rsid w:val="560B7070"/>
    <w:rsid w:val="587CF6A8"/>
    <w:rsid w:val="59714CF6"/>
    <w:rsid w:val="598EB974"/>
    <w:rsid w:val="598F5C94"/>
    <w:rsid w:val="5B3D87D6"/>
    <w:rsid w:val="5B5DADB1"/>
    <w:rsid w:val="5B65C66F"/>
    <w:rsid w:val="5C54130F"/>
    <w:rsid w:val="60E07415"/>
    <w:rsid w:val="6503B89F"/>
    <w:rsid w:val="66405ABF"/>
    <w:rsid w:val="66695886"/>
    <w:rsid w:val="66E102A9"/>
    <w:rsid w:val="68335C14"/>
    <w:rsid w:val="69CFAFF2"/>
    <w:rsid w:val="69FFEDCB"/>
    <w:rsid w:val="6B41A00C"/>
    <w:rsid w:val="6BBE082C"/>
    <w:rsid w:val="6DA9ACD1"/>
    <w:rsid w:val="6DDE509D"/>
    <w:rsid w:val="6E4916EC"/>
    <w:rsid w:val="71461616"/>
    <w:rsid w:val="71B62D7A"/>
    <w:rsid w:val="723692F8"/>
    <w:rsid w:val="7441A10B"/>
    <w:rsid w:val="75550DD4"/>
    <w:rsid w:val="759E89FC"/>
    <w:rsid w:val="76B7CE05"/>
    <w:rsid w:val="7743B2F7"/>
    <w:rsid w:val="779CAD49"/>
    <w:rsid w:val="77DC6EBC"/>
    <w:rsid w:val="783A5200"/>
    <w:rsid w:val="7886A93F"/>
    <w:rsid w:val="790EC524"/>
    <w:rsid w:val="7A536A55"/>
    <w:rsid w:val="7B1ED028"/>
    <w:rsid w:val="7B7FCE6C"/>
    <w:rsid w:val="7C662481"/>
    <w:rsid w:val="7CF80A70"/>
    <w:rsid w:val="7D08951E"/>
    <w:rsid w:val="7E54DF61"/>
    <w:rsid w:val="7F7775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C03C"/>
  <w15:docId w15:val="{1931727C-9FC9-486D-BD77-03175E05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54BD7"/>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4</TotalTime>
  <Pages>33</Pages>
  <Words>23729</Words>
  <Characters>13526</Characters>
  <Application>Microsoft Office Word</Application>
  <DocSecurity>0</DocSecurity>
  <Lines>112</Lines>
  <Paragraphs>74</Paragraphs>
  <ScaleCrop>false</ScaleCrop>
  <Company/>
  <LinksUpToDate>false</LinksUpToDate>
  <CharactersWithSpaces>37181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viedoklu_parskats_25-TA-2392.docx</dc:title>
  <dc:creator>Lāsma Kunkule-Martēna</dc:creator>
  <cp:lastModifiedBy>Lāsma Kunkule-Martēna</cp:lastModifiedBy>
  <cp:revision>5</cp:revision>
  <dcterms:created xsi:type="dcterms:W3CDTF">2026-05-28T08:35:00Z</dcterms:created>
  <dcterms:modified xsi:type="dcterms:W3CDTF">2026-05-28T08:39:00Z</dcterms:modified>
</cp:coreProperties>
</file>