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DDF633" w14:textId="77777777" w:rsidR="004C25EE" w:rsidRDefault="004C25EE" w:rsidP="004C25EE">
      <w:pPr>
        <w:outlineLvl w:val="0"/>
        <w:rPr>
          <w:lang w:eastAsia="lv-LV"/>
        </w:rPr>
      </w:pPr>
      <w:proofErr w:type="spellStart"/>
      <w:r>
        <w:rPr>
          <w:b/>
          <w:bCs/>
          <w:lang w:eastAsia="lv-LV"/>
        </w:rPr>
        <w:t>From</w:t>
      </w:r>
      <w:proofErr w:type="spellEnd"/>
      <w:r>
        <w:rPr>
          <w:b/>
          <w:bCs/>
          <w:lang w:eastAsia="lv-LV"/>
        </w:rPr>
        <w:t>:</w:t>
      </w:r>
      <w:r>
        <w:rPr>
          <w:lang w:eastAsia="lv-LV"/>
        </w:rPr>
        <w:t xml:space="preserve"> Dagnija Zepa &lt;</w:t>
      </w:r>
      <w:hyperlink r:id="rId5" w:history="1">
        <w:r>
          <w:rPr>
            <w:rStyle w:val="Hipersaite"/>
            <w:lang w:eastAsia="lv-LV"/>
          </w:rPr>
          <w:t>dagnija.zepa@pkc.mk.gov.lv</w:t>
        </w:r>
      </w:hyperlink>
      <w:r>
        <w:rPr>
          <w:lang w:eastAsia="lv-LV"/>
        </w:rPr>
        <w:t xml:space="preserve">&gt; </w:t>
      </w:r>
      <w:r>
        <w:rPr>
          <w:lang w:eastAsia="lv-LV"/>
        </w:rPr>
        <w:br/>
      </w:r>
      <w:proofErr w:type="spellStart"/>
      <w:r>
        <w:rPr>
          <w:b/>
          <w:bCs/>
          <w:lang w:eastAsia="lv-LV"/>
        </w:rPr>
        <w:t>Sent</w:t>
      </w:r>
      <w:proofErr w:type="spellEnd"/>
      <w:r>
        <w:rPr>
          <w:b/>
          <w:bCs/>
          <w:lang w:eastAsia="lv-LV"/>
        </w:rPr>
        <w:t>:</w:t>
      </w:r>
      <w:r>
        <w:rPr>
          <w:lang w:eastAsia="lv-LV"/>
        </w:rPr>
        <w:t xml:space="preserve"> </w:t>
      </w:r>
      <w:proofErr w:type="spellStart"/>
      <w:r>
        <w:rPr>
          <w:lang w:eastAsia="lv-LV"/>
        </w:rPr>
        <w:t>Thursday</w:t>
      </w:r>
      <w:proofErr w:type="spellEnd"/>
      <w:r>
        <w:rPr>
          <w:lang w:eastAsia="lv-LV"/>
        </w:rPr>
        <w:t xml:space="preserve">, </w:t>
      </w:r>
      <w:proofErr w:type="spellStart"/>
      <w:r>
        <w:rPr>
          <w:lang w:eastAsia="lv-LV"/>
        </w:rPr>
        <w:t>August</w:t>
      </w:r>
      <w:proofErr w:type="spellEnd"/>
      <w:r>
        <w:rPr>
          <w:lang w:eastAsia="lv-LV"/>
        </w:rPr>
        <w:t xml:space="preserve"> 4, 2022 9:47 PM</w:t>
      </w:r>
      <w:r>
        <w:rPr>
          <w:lang w:eastAsia="lv-LV"/>
        </w:rPr>
        <w:br/>
      </w:r>
      <w:r>
        <w:rPr>
          <w:b/>
          <w:bCs/>
          <w:lang w:eastAsia="lv-LV"/>
        </w:rPr>
        <w:t>To:</w:t>
      </w:r>
      <w:r>
        <w:rPr>
          <w:lang w:eastAsia="lv-LV"/>
        </w:rPr>
        <w:t xml:space="preserve"> Mārcis Katajs &lt;</w:t>
      </w:r>
      <w:hyperlink r:id="rId6" w:history="1">
        <w:r>
          <w:rPr>
            <w:rStyle w:val="Hipersaite"/>
            <w:lang w:eastAsia="lv-LV"/>
          </w:rPr>
          <w:t>Marcis.Katajs@km.gov.lv</w:t>
        </w:r>
      </w:hyperlink>
      <w:r>
        <w:rPr>
          <w:lang w:eastAsia="lv-LV"/>
        </w:rPr>
        <w:t>&gt;</w:t>
      </w:r>
      <w:r>
        <w:rPr>
          <w:lang w:eastAsia="lv-LV"/>
        </w:rPr>
        <w:br/>
      </w:r>
      <w:proofErr w:type="spellStart"/>
      <w:r>
        <w:rPr>
          <w:b/>
          <w:bCs/>
          <w:lang w:eastAsia="lv-LV"/>
        </w:rPr>
        <w:t>Subject</w:t>
      </w:r>
      <w:proofErr w:type="spellEnd"/>
      <w:r>
        <w:rPr>
          <w:b/>
          <w:bCs/>
          <w:lang w:eastAsia="lv-LV"/>
        </w:rPr>
        <w:t>:</w:t>
      </w:r>
      <w:r>
        <w:rPr>
          <w:lang w:eastAsia="lv-LV"/>
        </w:rPr>
        <w:t xml:space="preserve"> FW: Par valsts līdzdalības saglabāšanu Kultūras ministrijas VSIA</w:t>
      </w:r>
    </w:p>
    <w:p w14:paraId="653AD04D" w14:textId="77777777" w:rsidR="004C25EE" w:rsidRDefault="004C25EE" w:rsidP="004C25EE"/>
    <w:p w14:paraId="1C5608A5" w14:textId="77777777" w:rsidR="004C25EE" w:rsidRDefault="004C25EE" w:rsidP="004C25EE"/>
    <w:p w14:paraId="2B966049" w14:textId="77777777" w:rsidR="004C25EE" w:rsidRDefault="004C25EE" w:rsidP="004C25EE">
      <w:pPr>
        <w:jc w:val="both"/>
        <w:rPr>
          <w:color w:val="212121"/>
          <w:sz w:val="24"/>
          <w:szCs w:val="24"/>
          <w:lang w:eastAsia="lv-LV"/>
        </w:rPr>
      </w:pPr>
      <w:r>
        <w:rPr>
          <w:color w:val="212121"/>
          <w:sz w:val="24"/>
          <w:szCs w:val="24"/>
          <w:lang w:eastAsia="lv-LV"/>
        </w:rPr>
        <w:t xml:space="preserve">  </w:t>
      </w:r>
      <w:r>
        <w:rPr>
          <w:sz w:val="24"/>
          <w:szCs w:val="24"/>
          <w:lang w:eastAsia="lv-LV"/>
        </w:rPr>
        <w:t>Labdien!</w:t>
      </w:r>
    </w:p>
    <w:p w14:paraId="42F888CA" w14:textId="77777777" w:rsidR="004C25EE" w:rsidRDefault="004C25EE" w:rsidP="004C25EE">
      <w:pPr>
        <w:jc w:val="both"/>
        <w:rPr>
          <w:color w:val="212121"/>
          <w:sz w:val="24"/>
          <w:szCs w:val="24"/>
          <w:lang w:eastAsia="lv-LV"/>
        </w:rPr>
      </w:pPr>
      <w:r>
        <w:rPr>
          <w:color w:val="212121"/>
          <w:sz w:val="24"/>
          <w:szCs w:val="24"/>
          <w:lang w:eastAsia="lv-LV"/>
        </w:rPr>
        <w:t>Pārresoru koordinācijas centrs (turpmāk – PKC) ir izskatījis precizēto Ministru kabineta sēdes protokollēmuma projektu par valsts līdzdalības saglabāšanu valsts sabiedrībā ar ierobežotu atbildību „Latvijas Nacionālais simfoniskais orķestris”, valsts sabiedrībā ar ierobežotu atbildību „Liepājas simfoniskais orķestris”, valsts sabiedrībā ar ierobežotu atbildību „KREMERATA BALTICA”, valsts sabiedrībā ar ierobežotu atbildību „Valsts Akadēmiskais koris „Latvija””, valsts sabiedrībā ar ierobežotu atbildību „Latvijas Koncerti”, valsts sabiedrībā ar ierobežotu atbildību „Latvijas Nacionālā opera un balets”, valsts sabiedrībā ar ierobežotu atbildību „Jaunais Rīgas teātris”, valsts sabiedrībā ar ierobežotu atbildību „Dailes teātris”, valsts sabiedrībā ar ierobežotu atbildību „Latvijas Nacionālais teātris”, valsts sabiedrībā ar ierobežotu atbildību „Daugavpils teātris”, valsts sabiedrībā ar ierobežotu atbildību „Valmieras drāmas teātris”, valsts sabiedrībā ar ierobežotu atbildību „Latvijas Leļļu teātris”, valsts sabiedrībā ar ierobežotu atbildību „Mihaila Čehova Rīgas Krievu teātris” un valsts sabiedrībā ar ierobežotu atbildību „Rīgas cirks”, (projekts izsludināts Valsts sekretāru 2021.gada 22.jūlija sanāksmē prot. Nr.27 (18.§ , VSS – 680)), kā arī precizēto informatīvo ziņojumu un ziņojuma pielikumus projektus (turpmāk – Informatīvais ziņojums), un uztur 2022.gada 12.aprīļa atzinumā izteiktos  iebildumus turpmāk norādīto iemeslu dēļ:</w:t>
      </w:r>
    </w:p>
    <w:p w14:paraId="53A49708" w14:textId="77777777" w:rsidR="004C25EE" w:rsidRDefault="004C25EE" w:rsidP="004C25EE">
      <w:pPr>
        <w:jc w:val="both"/>
        <w:rPr>
          <w:color w:val="212121"/>
          <w:sz w:val="24"/>
          <w:szCs w:val="24"/>
          <w:lang w:eastAsia="lv-LV"/>
        </w:rPr>
      </w:pPr>
    </w:p>
    <w:p w14:paraId="6C42EC17" w14:textId="77777777" w:rsidR="004C25EE" w:rsidRDefault="004C25EE" w:rsidP="004C25EE">
      <w:pPr>
        <w:numPr>
          <w:ilvl w:val="0"/>
          <w:numId w:val="1"/>
        </w:numPr>
        <w:spacing w:before="100" w:beforeAutospacing="1" w:after="100" w:afterAutospacing="1"/>
        <w:jc w:val="both"/>
        <w:rPr>
          <w:rFonts w:eastAsia="Times New Roman"/>
          <w:color w:val="212121"/>
          <w:sz w:val="24"/>
          <w:szCs w:val="24"/>
          <w:lang w:eastAsia="lv-LV"/>
        </w:rPr>
      </w:pPr>
      <w:r>
        <w:rPr>
          <w:rFonts w:eastAsia="Times New Roman"/>
          <w:color w:val="212121"/>
          <w:sz w:val="24"/>
          <w:szCs w:val="24"/>
          <w:lang w:eastAsia="lv-LV"/>
        </w:rPr>
        <w:t xml:space="preserve">PKC 2022.gada 12.aprīļa atzinumā bija lūdzis papildināt Informatīvo ziņojumu ar informāciju par kapitālsabiedrību „Kremerata Baltica” (turpmāk – KB) un valsts sabiedrību ar ierobežotu atbildību „Valsts Akadēmiskais koris „Latvija”” (turpmāk – VAKL) pievienošanas valsts sabiedrībai ar ierobežotu atbildību „Latvijas Koncerti” (turpmāk – LK),  lietderības apsvērumiem, tostarp administratīvajām izmaksām un to proporciju pret kopējām izmaksām kapitālsabiedrību reorganizācijas gadījumā.   Atbildot uz iebildumu, Informatīvajā ziņojumā ievietotas tabulas par VAKL, LK un KB administratīvo izdevumu procentuālo īpatsvaru kopējos kapitālsabiedrību izdevumos laika posmā no 2017.gada līdz 2020.gadam, kas ilustrē vēsturisko situāciju, tomēr nav pievienots attiecīgs aprēķins, kāds būtu paredzamo administratīvo izmaksu apmērs reorganizācijas gadījumā (tai skaitā nav administratīvo izdevumu pozīciju norādes). Ziņojuma tekstuālajā daļā gan norādīts uz atsevišķām papildus pozīcijām, tomēr salīdzinošo datu trūkuma dēļ nav iespējams gūt skaidru </w:t>
      </w:r>
      <w:proofErr w:type="spellStart"/>
      <w:r>
        <w:rPr>
          <w:rFonts w:eastAsia="Times New Roman"/>
          <w:color w:val="212121"/>
          <w:sz w:val="24"/>
          <w:szCs w:val="24"/>
          <w:lang w:eastAsia="lv-LV"/>
        </w:rPr>
        <w:t>salīdziņošu</w:t>
      </w:r>
      <w:proofErr w:type="spellEnd"/>
      <w:r>
        <w:rPr>
          <w:rFonts w:eastAsia="Times New Roman"/>
          <w:color w:val="212121"/>
          <w:sz w:val="24"/>
          <w:szCs w:val="24"/>
          <w:lang w:eastAsia="lv-LV"/>
        </w:rPr>
        <w:t xml:space="preserve"> priekšstatu par reorganizācijas potenciālo </w:t>
      </w:r>
      <w:r>
        <w:rPr>
          <w:rFonts w:eastAsia="Times New Roman"/>
          <w:sz w:val="24"/>
          <w:szCs w:val="24"/>
          <w:lang w:eastAsia="lv-LV"/>
        </w:rPr>
        <w:t xml:space="preserve">ietekmi uz kapitālsabiedrību kopējo izdevumu apjomu. Atgādinām, ka Valsts kontroles likumības un lietderības revīzijas “Vai Kultūras ministrija nodrošina efektīvu kapitālsabiedrību pārvaldību?” ietvaros (revīzijas ziņojums 2018.gada 29.martā) Kultūras ministrija apņēmās </w:t>
      </w:r>
      <w:r>
        <w:rPr>
          <w:rFonts w:eastAsia="Times New Roman"/>
          <w:color w:val="212121"/>
          <w:sz w:val="24"/>
          <w:szCs w:val="24"/>
          <w:lang w:eastAsia="lv-LV"/>
        </w:rPr>
        <w:t>nākamajā kultūras kapitālsabiedrību līdzdalības izvērtēšanas procesā vērtēt kapitālsabiedrību administratīvo funkciju optimizēšanas lietderību. Papildus  minētajam uzsveram arī iepriekš izteiktajos iebildumos norādīto, ka administratīvā personāla telpu platības pietiekamības aspekts jāvērtē arī ņemot vērā attālinātā darba iespējas, kā arī administratīvā personāla optimizācijas iespējas.</w:t>
      </w:r>
    </w:p>
    <w:p w14:paraId="5E68148E" w14:textId="77777777" w:rsidR="004C25EE" w:rsidRDefault="004C25EE" w:rsidP="004C25EE">
      <w:pPr>
        <w:numPr>
          <w:ilvl w:val="0"/>
          <w:numId w:val="1"/>
        </w:numPr>
        <w:spacing w:before="100" w:beforeAutospacing="1" w:after="100" w:afterAutospacing="1"/>
        <w:jc w:val="both"/>
        <w:rPr>
          <w:rFonts w:eastAsia="Times New Roman"/>
          <w:sz w:val="24"/>
          <w:szCs w:val="24"/>
          <w:lang w:eastAsia="lv-LV"/>
        </w:rPr>
      </w:pPr>
      <w:r>
        <w:rPr>
          <w:rFonts w:eastAsia="Times New Roman"/>
          <w:color w:val="212121"/>
          <w:sz w:val="24"/>
          <w:szCs w:val="24"/>
          <w:lang w:eastAsia="lv-LV"/>
        </w:rPr>
        <w:t xml:space="preserve">PKC  2022.gada 12.aprīļa atzinumā tika norādījis, ka  nav pamatoti Informatīvajā ziņojumā atsaukties uz  2007.gada 25.augusta sēdē izskatīto Informatīvo ziņojumu "Par </w:t>
      </w:r>
      <w:r>
        <w:rPr>
          <w:rFonts w:eastAsia="Times New Roman"/>
          <w:color w:val="212121"/>
          <w:sz w:val="24"/>
          <w:szCs w:val="24"/>
          <w:lang w:eastAsia="lv-LV"/>
        </w:rPr>
        <w:lastRenderedPageBreak/>
        <w:t>kultūras institūciju – valsts kapitālsabiedrību juridiskā statusa izvērtējumu". Atbildot uz iebildumu, Kultūras ministrija izdarījusi precizējumu Informatīvajā ziņojumā, norādot, ka "Kultūras ministrija tika izstrādājusi informatīvo ziņojumu „Par kultūras institūciju – valsts kapitālsabiedrību juridiskā statusa izvērtējumu” (iesniegts izskatīšanai Ministru kabineta komitejas sēdē 2017.gada 6.jūlijā ar vēstuli Nr.3.1.2-3/1516 un tā precizējumi 2017.gada 22.augustā ar vēstuli Nr.3.1.2-3/1837) par iespējamiem risinājumiem kultūras institūciju – valsts kapitālsabiedrību juridiskajam statusam," Tomēr Informatīvajā ziņojumā nav norādīta informācija par turpmāku šī ziņojuma virzību. Lūdzam attiecīgi papildināt Informatīvo ziņojumu ar informāciju par precizētā informatīvā ziņojuma „Par kultūras institūciju – valsts kapitālsabiedrību juridiskā statusa izvērtējumu" virzību</w:t>
      </w:r>
      <w:r>
        <w:rPr>
          <w:rFonts w:eastAsia="Times New Roman"/>
          <w:color w:val="FF0000"/>
          <w:sz w:val="24"/>
          <w:szCs w:val="24"/>
          <w:lang w:eastAsia="lv-LV"/>
        </w:rPr>
        <w:t>. </w:t>
      </w:r>
      <w:r>
        <w:rPr>
          <w:rFonts w:eastAsia="Times New Roman"/>
          <w:sz w:val="24"/>
          <w:szCs w:val="24"/>
          <w:lang w:eastAsia="lv-LV"/>
        </w:rPr>
        <w:t>PKC norāda, ka kopš informatīvā ziņojuma sagatavošanas ir pagājuši pieci gadi, un  Kapitālsabiedrību pārvaldības likuma 7. pants paredz reizi piecos gados pārvērtēt valsts līdzdalību kapitālsabiedrībā. Ņemot vērā minēto, šajā informatīvajā ziņojumā ir jāietver arī izvērtējums tam, vai kapitālsabiedrība ir piemērotākā juridiskā forma noteikto mērķu īstenošanai, vai arī MK sēdes protokollēmuma projektā  nepieciešams noteikt saprātīgu termiņu nepieciešamā izvērtējuma veikšanai. PKC ieskatā, Informatīvajā ziņojumā minētais 5 gadu termiņš  Eiropas Savienības prakses un juridiskās formas alternatīvu izpētei ir nesamērīgi garš un ietver jau nākamo līdzdalības pārvērtēšanas ciklu.</w:t>
      </w:r>
    </w:p>
    <w:p w14:paraId="59E9827F" w14:textId="77777777" w:rsidR="004C25EE" w:rsidRDefault="004C25EE" w:rsidP="004C25EE">
      <w:pPr>
        <w:numPr>
          <w:ilvl w:val="0"/>
          <w:numId w:val="1"/>
        </w:numPr>
        <w:spacing w:before="100" w:beforeAutospacing="1" w:after="100" w:afterAutospacing="1"/>
        <w:jc w:val="both"/>
        <w:rPr>
          <w:rFonts w:eastAsia="Times New Roman"/>
          <w:sz w:val="24"/>
          <w:szCs w:val="24"/>
          <w:lang w:eastAsia="lv-LV"/>
        </w:rPr>
      </w:pPr>
      <w:r>
        <w:rPr>
          <w:rFonts w:eastAsia="Times New Roman"/>
          <w:color w:val="212121"/>
          <w:sz w:val="24"/>
          <w:szCs w:val="24"/>
          <w:lang w:eastAsia="lv-LV"/>
        </w:rPr>
        <w:t>PKC 2022.gada 12.aprīļa atzinumā, pamatojoties uz Valsts pārvaldes iekārtas likuma 88. panta otro daļu, lūdza veikt konsultācijas un attiecīgi iekļaut Informatīvajā ziņojumā informāciju par konsultēšanās rezultātiem ar komersantus pārstāvošām biedrībām vai nodibinājumiem. Aktuālajā Informatīvā ziņojuma redakcijā iekļauta tikai atsauce uz Latvijas Tirdzniecības un Rūpniecības kameras 19.05.2022. vēstuli „Par publiskas personas līdzdalības kapitālsabiedrībās izvērtēšanu”, kurā pausts ieteikums izvērtēt, vai kapitālsabiedrības, kuras pārsvarā tiek finansētas no valsts budžeta līdzekļiem, nav nepieciešams reorganizēt. Saistībā ar LTRK ieteikumu Kultūras ministrija turpmāko 5 gadu laikā apņēmusies veikt Eiropas Savienības prakses un juridiskās formas alternatīvu izpēti, kas kultūras institūcijām ļautu turpināt augstvērtīgi īstenot mērķi – stratēģiski svarīgu kultūras pakalpojumu radīšana un to pieejamības nodrošināšana sabiedrībai.  Norādām, ka Informatīvajā ziņojumā nav pilnībā atklāts LTRK vēstulē paustais ierosinājums, tādēļ Kultūras ministrijas apņemšanās veikt alternatīvo juridisko formu izpēti neatbilst LTRK ierosinājumam. Lūdzam ņemt vērā, ka LTRK norādījusi, ka "izskatot KM izstrādātos dokumentus par valsts līdzdalības saglabāšanu kapitālsabiedrībās, kurās ministrija ir kapitāla daļu turētāja, LTRK ieskatā KM ir nepieciešams izveidot darba grupu, kuras ietvaros, diskusijās ar nozares privāto un publisko sektoru pārstāvjiem, atrast piemērotāko risinājumu, kas ļautu nodrošināt kultūras nozaru sniegto pakalpojumu pieejamību un vienlaikus veicinātu godīgu konkurenci", un Informatīvajā ziņojumā norādīt, vai šāds ierosinājums tiks ņemts vērā un kā tas tiks izpildīts. </w:t>
      </w:r>
    </w:p>
    <w:p w14:paraId="6E402617" w14:textId="77777777" w:rsidR="004C25EE" w:rsidRPr="004C25EE" w:rsidRDefault="004C25EE" w:rsidP="004C25EE">
      <w:pPr>
        <w:pStyle w:val="Sarakstarindkopa"/>
        <w:numPr>
          <w:ilvl w:val="0"/>
          <w:numId w:val="1"/>
        </w:numPr>
        <w:jc w:val="both"/>
        <w:rPr>
          <w:rFonts w:eastAsia="Times New Roman"/>
          <w:color w:val="212121"/>
          <w:sz w:val="24"/>
          <w:szCs w:val="24"/>
          <w:lang w:eastAsia="lv-LV"/>
        </w:rPr>
      </w:pPr>
      <w:r w:rsidRPr="004C25EE">
        <w:rPr>
          <w:rFonts w:eastAsia="Times New Roman"/>
          <w:color w:val="212121"/>
          <w:sz w:val="24"/>
          <w:szCs w:val="24"/>
          <w:lang w:eastAsia="lv-LV"/>
        </w:rPr>
        <w:t xml:space="preserve">Informatīvā ziņojuma 5.pielikumā norādīts: "Kā uzlabojums infrastruktūrā, kas spētu būtiski uzlabot Latvijas mūzikas nozares situāciju un atskaņojumu akustisko kvalitāti, veicinot ne tikai Latvijas mūziķu, bet arī starptautiski atzītu mākslinieku koncertdarbību Latvijā, turklāt sniedzot lielākam publikas apjomam iespēju apmeklēt koncertus tiem atbilstošos apstākļos, uz šo brīdi tiek izskatītas iespējas īstenot nacionālās koncertzāles projektu (saskaņā ar Ministru kabineta 2020.gada 18.jūnija rīkojumu Nr.341 „Par nacionālās koncertzāles projekta īstenošanu   ”), kas pavērš lielākas izdevības dažādu producentu rīkoto programmu realizēšanai." Lūdzam ņemt vērā, ka šis rīkojums ir </w:t>
      </w:r>
      <w:r w:rsidRPr="004C25EE">
        <w:rPr>
          <w:rFonts w:eastAsia="Times New Roman"/>
          <w:color w:val="212121"/>
          <w:sz w:val="24"/>
          <w:szCs w:val="24"/>
          <w:lang w:eastAsia="lv-LV"/>
        </w:rPr>
        <w:lastRenderedPageBreak/>
        <w:t xml:space="preserve">zaudējis spēku ar Ministru kabineta 2022. gada 9. marta rīkojumu Nr. 162 "Par nacionālās koncertzāles projekta īstenošanu". </w:t>
      </w:r>
    </w:p>
    <w:p w14:paraId="2E022609" w14:textId="77777777" w:rsidR="004C25EE" w:rsidRDefault="004C25EE" w:rsidP="004C25EE"/>
    <w:p w14:paraId="2379ED7B" w14:textId="77777777" w:rsidR="004C25EE" w:rsidRDefault="004C25EE" w:rsidP="004C25EE">
      <w:pPr>
        <w:shd w:val="clear" w:color="auto" w:fill="FFFFFF"/>
        <w:rPr>
          <w:color w:val="000000"/>
          <w:sz w:val="24"/>
          <w:szCs w:val="24"/>
          <w:lang w:eastAsia="lv-LV"/>
        </w:rPr>
      </w:pPr>
      <w:bookmarkStart w:id="0" w:name="_Hlk64641951"/>
      <w:r>
        <w:rPr>
          <w:color w:val="000000"/>
          <w:sz w:val="20"/>
          <w:szCs w:val="20"/>
          <w:lang w:eastAsia="lv-LV"/>
        </w:rPr>
        <w:t>Ar cieņu</w:t>
      </w:r>
    </w:p>
    <w:p w14:paraId="179842BB" w14:textId="77777777" w:rsidR="004C25EE" w:rsidRDefault="004C25EE" w:rsidP="004C25EE">
      <w:pPr>
        <w:shd w:val="clear" w:color="auto" w:fill="FFFFFF"/>
        <w:rPr>
          <w:color w:val="212121"/>
          <w:lang w:eastAsia="lv-LV"/>
        </w:rPr>
      </w:pPr>
      <w:r>
        <w:rPr>
          <w:color w:val="000000"/>
          <w:sz w:val="20"/>
          <w:szCs w:val="20"/>
          <w:lang w:eastAsia="lv-LV"/>
        </w:rPr>
        <w:t>Dagnija Zepa</w:t>
      </w:r>
    </w:p>
    <w:p w14:paraId="4744B881" w14:textId="77777777" w:rsidR="004C25EE" w:rsidRDefault="004C25EE" w:rsidP="004C25EE">
      <w:pPr>
        <w:shd w:val="clear" w:color="auto" w:fill="FFFFFF"/>
        <w:rPr>
          <w:color w:val="212121"/>
          <w:lang w:eastAsia="lv-LV"/>
        </w:rPr>
      </w:pPr>
      <w:r>
        <w:rPr>
          <w:color w:val="767171"/>
          <w:sz w:val="20"/>
          <w:szCs w:val="20"/>
          <w:lang w:eastAsia="lv-LV"/>
        </w:rPr>
        <w:t> </w:t>
      </w:r>
    </w:p>
    <w:p w14:paraId="32670C06" w14:textId="77777777" w:rsidR="004C25EE" w:rsidRDefault="004C25EE" w:rsidP="004C25EE">
      <w:pPr>
        <w:shd w:val="clear" w:color="auto" w:fill="FFFFFF"/>
        <w:rPr>
          <w:color w:val="212121"/>
          <w:lang w:eastAsia="lv-LV"/>
        </w:rPr>
      </w:pPr>
      <w:r>
        <w:rPr>
          <w:color w:val="767171"/>
          <w:sz w:val="20"/>
          <w:szCs w:val="20"/>
          <w:lang w:eastAsia="lv-LV"/>
        </w:rPr>
        <w:t>Pārresoru koordinācijas centrs</w:t>
      </w:r>
    </w:p>
    <w:p w14:paraId="36450FE2" w14:textId="77777777" w:rsidR="004C25EE" w:rsidRDefault="004C25EE" w:rsidP="004C25EE">
      <w:pPr>
        <w:shd w:val="clear" w:color="auto" w:fill="FFFFFF"/>
        <w:rPr>
          <w:color w:val="212121"/>
          <w:lang w:eastAsia="lv-LV"/>
        </w:rPr>
      </w:pPr>
      <w:r>
        <w:rPr>
          <w:color w:val="767171"/>
          <w:sz w:val="20"/>
          <w:szCs w:val="20"/>
          <w:lang w:eastAsia="lv-LV"/>
        </w:rPr>
        <w:t>tālr.: 67082815</w:t>
      </w:r>
    </w:p>
    <w:p w14:paraId="127F1271" w14:textId="77777777" w:rsidR="004C25EE" w:rsidRDefault="004C25EE" w:rsidP="004C25EE">
      <w:pPr>
        <w:shd w:val="clear" w:color="auto" w:fill="FFFFFF"/>
        <w:rPr>
          <w:color w:val="9CC2E5"/>
          <w:lang w:eastAsia="lv-LV"/>
        </w:rPr>
      </w:pPr>
      <w:r>
        <w:rPr>
          <w:color w:val="767171"/>
          <w:sz w:val="20"/>
          <w:szCs w:val="20"/>
          <w:lang w:eastAsia="lv-LV"/>
        </w:rPr>
        <w:t>e-pasts: </w:t>
      </w:r>
      <w:hyperlink r:id="rId7" w:history="1">
        <w:r>
          <w:rPr>
            <w:rStyle w:val="Hipersaite"/>
            <w:sz w:val="20"/>
            <w:szCs w:val="20"/>
            <w:lang w:eastAsia="lv-LV"/>
          </w:rPr>
          <w:t>dagnija.zepa@pkc.mk.gov.lv</w:t>
        </w:r>
      </w:hyperlink>
    </w:p>
    <w:p w14:paraId="2FF33B83" w14:textId="77777777" w:rsidR="004C25EE" w:rsidRDefault="004C25EE" w:rsidP="004C25EE">
      <w:pPr>
        <w:shd w:val="clear" w:color="auto" w:fill="FFFFFF"/>
        <w:rPr>
          <w:color w:val="212121"/>
          <w:lang w:eastAsia="lv-LV"/>
        </w:rPr>
      </w:pPr>
      <w:r>
        <w:rPr>
          <w:color w:val="767171"/>
          <w:sz w:val="20"/>
          <w:szCs w:val="20"/>
          <w:lang w:eastAsia="lv-LV"/>
        </w:rPr>
        <w:t>mājaslapa: </w:t>
      </w:r>
      <w:hyperlink r:id="rId8" w:tgtFrame="_blank" w:tooltip="http://www.pkc.gov.lv/&#10;Ctrl+Noklikšķiniet vai pieskarieties, lai atvērtu saiti" w:history="1">
        <w:r>
          <w:rPr>
            <w:rStyle w:val="Hipersaite"/>
            <w:color w:val="9CC2E5"/>
            <w:sz w:val="20"/>
            <w:szCs w:val="20"/>
            <w:lang w:eastAsia="lv-LV"/>
          </w:rPr>
          <w:t>www.pkc.gov.lv</w:t>
        </w:r>
      </w:hyperlink>
    </w:p>
    <w:p w14:paraId="213EEEDA" w14:textId="77777777" w:rsidR="004C25EE" w:rsidRDefault="004C25EE" w:rsidP="004C25EE">
      <w:pPr>
        <w:shd w:val="clear" w:color="auto" w:fill="FFFFFF"/>
        <w:rPr>
          <w:color w:val="212121"/>
          <w:lang w:eastAsia="lv-LV"/>
        </w:rPr>
      </w:pPr>
      <w:proofErr w:type="spellStart"/>
      <w:r>
        <w:rPr>
          <w:color w:val="7F7F7F"/>
          <w:sz w:val="20"/>
          <w:szCs w:val="20"/>
          <w:lang w:eastAsia="lv-LV"/>
        </w:rPr>
        <w:t>twitter</w:t>
      </w:r>
      <w:proofErr w:type="spellEnd"/>
      <w:r>
        <w:rPr>
          <w:color w:val="262626"/>
          <w:sz w:val="20"/>
          <w:szCs w:val="20"/>
          <w:lang w:eastAsia="lv-LV"/>
        </w:rPr>
        <w:t>: </w:t>
      </w:r>
      <w:hyperlink r:id="rId9" w:tgtFrame="_blank" w:tooltip="https://twitter.com/LVnakotne&#10;Ctrl+Noklikšķiniet vai pieskarieties, lai atvērtu saiti" w:history="1">
        <w:r>
          <w:rPr>
            <w:rStyle w:val="Hipersaite"/>
            <w:color w:val="9CC2E5"/>
            <w:sz w:val="20"/>
            <w:szCs w:val="20"/>
            <w:lang w:eastAsia="lv-LV"/>
          </w:rPr>
          <w:t>@</w:t>
        </w:r>
        <w:proofErr w:type="spellStart"/>
        <w:r>
          <w:rPr>
            <w:rStyle w:val="Hipersaite"/>
            <w:color w:val="9CC2E5"/>
            <w:sz w:val="20"/>
            <w:szCs w:val="20"/>
            <w:lang w:eastAsia="lv-LV"/>
          </w:rPr>
          <w:t>LVnakotne</w:t>
        </w:r>
        <w:proofErr w:type="spellEnd"/>
      </w:hyperlink>
    </w:p>
    <w:p w14:paraId="065DE802" w14:textId="77777777" w:rsidR="004C25EE" w:rsidRDefault="004C25EE" w:rsidP="004C25EE">
      <w:pPr>
        <w:shd w:val="clear" w:color="auto" w:fill="FFFFFF"/>
        <w:rPr>
          <w:color w:val="9CC2E5"/>
          <w:sz w:val="20"/>
          <w:szCs w:val="20"/>
          <w:lang w:eastAsia="lv-LV"/>
        </w:rPr>
      </w:pPr>
      <w:r>
        <w:rPr>
          <w:color w:val="7F7F7F"/>
          <w:sz w:val="20"/>
          <w:szCs w:val="20"/>
          <w:lang w:eastAsia="lv-LV"/>
        </w:rPr>
        <w:t>FB:</w:t>
      </w:r>
      <w:r>
        <w:rPr>
          <w:color w:val="9CC2E5"/>
          <w:sz w:val="20"/>
          <w:szCs w:val="20"/>
          <w:lang w:eastAsia="lv-LV"/>
        </w:rPr>
        <w:t> </w:t>
      </w:r>
      <w:proofErr w:type="spellStart"/>
      <w:r>
        <w:rPr>
          <w:color w:val="9CC2E5"/>
          <w:sz w:val="20"/>
          <w:szCs w:val="20"/>
          <w:lang w:eastAsia="lv-LV"/>
        </w:rPr>
        <w:t>LVnākotne</w:t>
      </w:r>
      <w:proofErr w:type="spellEnd"/>
    </w:p>
    <w:p w14:paraId="5B9A3ACA" w14:textId="4A566391" w:rsidR="004C25EE" w:rsidRDefault="004C25EE" w:rsidP="004C25EE">
      <w:pPr>
        <w:shd w:val="clear" w:color="auto" w:fill="FFFFFF"/>
        <w:rPr>
          <w:color w:val="212121"/>
          <w:lang w:eastAsia="lv-LV"/>
        </w:rPr>
      </w:pPr>
      <w:r>
        <w:rPr>
          <w:noProof/>
          <w:color w:val="212121"/>
          <w:lang w:eastAsia="lv-LV"/>
        </w:rPr>
        <w:drawing>
          <wp:inline distT="0" distB="0" distL="0" distR="0" wp14:anchorId="61F29F81" wp14:editId="201114C4">
            <wp:extent cx="1266825" cy="1438275"/>
            <wp:effectExtent l="0" t="0" r="9525"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66825" cy="1438275"/>
                    </a:xfrm>
                    <a:prstGeom prst="rect">
                      <a:avLst/>
                    </a:prstGeom>
                    <a:noFill/>
                    <a:ln>
                      <a:noFill/>
                    </a:ln>
                  </pic:spPr>
                </pic:pic>
              </a:graphicData>
            </a:graphic>
          </wp:inline>
        </w:drawing>
      </w:r>
      <w:bookmarkEnd w:id="0"/>
    </w:p>
    <w:p w14:paraId="46CE3BB6" w14:textId="77777777" w:rsidR="004C25EE" w:rsidRDefault="004C25EE" w:rsidP="004C25EE">
      <w:pPr>
        <w:rPr>
          <w:lang w:eastAsia="lv-LV"/>
        </w:rPr>
      </w:pPr>
    </w:p>
    <w:p w14:paraId="45C8F084" w14:textId="77777777" w:rsidR="00457163" w:rsidRDefault="00457163"/>
    <w:sectPr w:rsidR="00457163" w:rsidSect="004C25EE">
      <w:pgSz w:w="11906" w:h="16838"/>
      <w:pgMar w:top="1418"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E97E42"/>
    <w:multiLevelType w:val="multilevel"/>
    <w:tmpl w:val="0BC626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5EE"/>
    <w:rsid w:val="00457163"/>
    <w:rsid w:val="004C25E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C87B5"/>
  <w15:chartTrackingRefBased/>
  <w15:docId w15:val="{04F8AA07-38BA-4797-9806-C831EA791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C25EE"/>
    <w:pPr>
      <w:spacing w:after="0" w:line="240" w:lineRule="auto"/>
    </w:pPr>
    <w:rPr>
      <w:rFonts w:ascii="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4C25EE"/>
    <w:rPr>
      <w:color w:val="0563C1"/>
      <w:u w:val="single"/>
    </w:rPr>
  </w:style>
  <w:style w:type="paragraph" w:styleId="Sarakstarindkopa">
    <w:name w:val="List Paragraph"/>
    <w:basedOn w:val="Parasts"/>
    <w:uiPriority w:val="34"/>
    <w:qFormat/>
    <w:rsid w:val="004C25EE"/>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4898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kc.gov.lv/" TargetMode="External"/><Relationship Id="rId3" Type="http://schemas.openxmlformats.org/officeDocument/2006/relationships/settings" Target="settings.xml"/><Relationship Id="rId7" Type="http://schemas.openxmlformats.org/officeDocument/2006/relationships/hyperlink" Target="mailto:dagnija.zepa@pkc.mk.gov.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rcis.Katajs@km.gov.lv" TargetMode="External"/><Relationship Id="rId11" Type="http://schemas.openxmlformats.org/officeDocument/2006/relationships/fontTable" Target="fontTable.xml"/><Relationship Id="rId5" Type="http://schemas.openxmlformats.org/officeDocument/2006/relationships/hyperlink" Target="mailto:dagnija.zepa@pkc.mk.gov.lv" TargetMode="Externa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twitter.com/LVnakotne"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5258</Words>
  <Characters>2998</Characters>
  <Application>Microsoft Office Word</Application>
  <DocSecurity>0</DocSecurity>
  <Lines>24</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Šakina</dc:creator>
  <cp:keywords/>
  <dc:description/>
  <cp:lastModifiedBy>Anete Šakina</cp:lastModifiedBy>
  <cp:revision>1</cp:revision>
  <dcterms:created xsi:type="dcterms:W3CDTF">2022-08-05T07:22:00Z</dcterms:created>
  <dcterms:modified xsi:type="dcterms:W3CDTF">2022-08-05T07:27:00Z</dcterms:modified>
</cp:coreProperties>
</file>