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26-TA-204: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13. jūlija noteikumos Nr. 407 "Eiropas Savienības kohēzijas politikas programmas 2021.–2027. gadam 1.2.3. specifiskā atbalsta mērķa "Veicināt ilgtspējīgu izaugsmi, konkurētspēju un darba vietu radīšanu MVU, tostarp ar produktīvām investīcijām" 1.2.3.1. pasākuma "Atbalsts MVU inovatīvas uzņēmējdarbības attīstībai"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(02.09.2025.)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21.04.2026. 17:23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1.1. sadaļā "Pamatojums" aprakstā precizēt ierakstu par izmaiņu veikšanu lielo starptautisko sporta pasākumu atbalsta sniegšanas kārtībā, ņemot vērā, ka noteikumu grozījumos pēc būtības tiek svītrots atbalsts lielo sporta pasākumu atbalstam, nevis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anotācijā ietvert īsu skaidrojumu par izstrādātā noteikumu projekta ietekmi uz finansējuma saņēmēju – Latvijas Investīciju un attīstības aģentūru, kā arī par to, kādā veidā gala labuma guvēji, kuri līdz šim vēl nav iesnieguši finanšu atbalsta pieteikumus, tiks informēti par izstrādātajiem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par intervences kodiem, norādot pieejamā finansējuma sadalījumu starp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par LIAA operatīvajiem datiem, ka 1.2.3.1. pasākuma ietvaros nefinanšu atbalstu saņēmušo uzņēmumu skaits (RCO 04) – 852, kas pārsniedz Eiropas Savienības kohēzijas politikas programmā 2021.—2027. gadam (turpmāk — Programma) un SAM 1.2.3. rādītāju pasē noteikto mērķa vērtību, kā arī ar grantiem atbalstīto uzņēmumu skaitu (RCO 02) - 799, kas pārsniedz Programmā un rādītāju pasē noteikto mērķa vērtību, lūdzam informēt Finanšu ministriju par nepieciešamību precizēt attiecīgos rādītājus Programmā un rādītāju pasē, jo tie ir uzskatāmi par būtisku rādītāja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informēta par nepieciešamību precizēt attiecīgus rādītājus Programmā un rādītāju pasē.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ietekmi uz valsts budžetu, šobrīd 6.ailē norādītos budžeta izdevumus pārceļot uz 7.aili, attiecīgi precizējot projekta finansiālo ietekmi 2028.gadā. Vienlaikus precizēto finansiālo ietekmi lūdzam atspoguļot arī 5.1.apakšpunktā, savukārt punktā “Cita informācija” norādīt, ka pasākuma īstenošanai nepieciešamo finansējumu Ekonomikas ministrija pieprasīs no 74.resora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gadījumā, ja likumā “Par valsts budžetu 2026. gadam un budžeta ietvaru 2026., 2027. un 2028. gadam” Ekonomikas ministrijas budžetā 2026., 2027. un 2028.gadam ir ieplānots finansējums 1.2.3.1. pasākuma "Atbalsts MVU inovatīvas uzņēmējdarbības attīstībai" īstenošanai, tad tas ir jāatspoguļo sadaļas tabulas ailēs “saskaņā ar valsts budžetu kārtējam gadam” un “saskaņā ar vidēja termiņa budžeta ietvaru”, skaidrojošo informāciju iekļaujot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amatieru sports – darbības, kas nav kvalificējamas kā profesionālais sports saskaņā ar regulas Nr. 651/2014 2. panta 143.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2.10.apakšpunktu ņemot vērā, ka tiek svītrots noteikumu 45.14.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šī definīcija ir saistīta arī ar 43.13. apakšpunktu, līdz ar to redakcija saglabājama.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amatieru sports – darbības, kas nav kvalificējamas kā profesionālais sports saskaņā ar regulas Nr. 651/2014 2. panta 143.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sasniedzami šādi iznākuma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pasākuma ietvaros sasniedzamos iznākuma rādītājus, ņemot vērā, ka tiek piešķirts elastības finansējums un anotācijā norādīto par sasniegtajiem iznākuma rādītāju apjomiem.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Radītāji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45.8. telemārketinga pakalpojumi ārvalstu sadarbības partneru meklēšanai (maksa par telemārketinga pakalpojumiem – zvanu veikšanu un kampaņveidīgas informācijas sūtīšanu, lai ieinteresētu un piesaistītu pakalpojumam vai produktam jaunus klientus un sadarbības partnerus, kā arī lai papildinātu klientu un sadarbības partneru datubāzes);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gala labuma guvēju atbalstāmo darbību telemārketinga pakalpojumi svītrošanu no noteikumiem, vai papildinot noteikumu apakšpunktu ar nosacījumiem par sasniegto rezultātu (piemēram, nosakot sasniegto numuru īpatsvaru, sarunas ilguma garumu, kvalitatīva zvana parametrus u.c.). Aģentūra, vērtējot iesniegtos gala labuma guvēju rezultātu pamatojošos dokumentus, ir secinājusi, ka minētā darbība nesasniedz paredzēto atdevi un nesniedz būtisku ieguldījumu gala labuma guvēju mērķu sasniegšanā. Daudzos izvērtētajos rezultātu pamatojošajos dokumentos konstatēta zema pozitīva atgriezeniskā saite, proti, nepietiekama klientu atsaucība vai apliecinājums par gala labuma produkta vai pakalpojuma izvēli, ļoti īss zvana garums, bieži ne ilgāks kā viena minūte.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45.8. telemārketinga pakalpojumi (zvanu veikšana un kampaņveidīgas informācijas sūtīšana) ārvalstu tirgu apguvei, kuru ietvaros tiek identificēti potenciālie ārvalstu klienti vai sadarbības partneri un sagatavots potenciālo klientu vai sadarbības partneru saraksts, kā arī nodrošinātas vismaz trīs notikušas tikšanās ar kvalificētiem potenciālajiem ārvalstu klientiem vai sadarbības partneriem;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w:t>
            </w:r>
            <w:r w:rsidR="00000000" w:rsidRPr="00000000" w:rsidDel="00000000">
              <w:rPr>
                <w:rtl w:val="0"/>
              </w:rPr>
              <w:t xml:space="preserve">45.</w:t>
            </w:r>
            <w:r w:rsidR="00000000" w:rsidRPr="00000000" w:rsidDel="00000000">
              <w:rPr>
                <w:rtl w:val="0"/>
              </w:rPr>
              <w:t xml:space="preserve"> punktā minēto atbalstāmo darbību ietvaros komersantam radušās izmaksas ir attiecināmas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50.punkta redakciju, lai nerastos neskaidrības, ņemot vērā, ka noteikumu 45.11. apakšpunktā minētās darbības nav iekļautas vienkāršoto izmaksu metodikā un ir kā tiešās 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45. punktā minēto atbalstāmo darbību ietvaros komersantam radušās izmaksas ir attiecināmas atbilstoši atbildīgās iestādes apstiprinātajai vienkāršoto izmaksu metodikai, kas saskaņota ar vadošo iestādi, izņemot šo noteikumu 45.11. apakšpunktā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atbilsotoši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w:t>
            </w:r>
            <w:r w:rsidR="00000000" w:rsidRPr="00000000" w:rsidDel="00000000">
              <w:rPr>
                <w:rtl w:val="0"/>
              </w:rPr>
              <w:t xml:space="preserve">45.</w:t>
            </w:r>
            <w:r w:rsidR="00000000" w:rsidRPr="00000000" w:rsidDel="00000000">
              <w:rPr>
                <w:rtl w:val="0"/>
              </w:rPr>
              <w:t xml:space="preserve"> punktā minēto atbalstāmo darbību ietvaros komersantam radušās izmaksas ir attiecināmas atbilstoši atbildīgās iestādes apstiprinātajai vienkāršoto izmaksu metodikai, kas saskaņota ar vadošo iestādi, izņemot šo noteikumu 45.11 apakšpunktā minētās darbības.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26-TA-204</w:t>
    </w:r>
    <w:r>
      <w:br/>
    </w:r>
    <w:r w:rsidR="00000000" w:rsidRPr="00000000" w:rsidDel="00000000">
      <w:rPr>
        <w:rtl w:val="0"/>
      </w:rPr>
      <w:t xml:space="preserve">09.06.2026. 11.51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26-TA-204</w:t>
    </w:r>
    <w:r>
      <w:br/>
    </w:r>
    <w:r w:rsidR="00000000" w:rsidRPr="00000000" w:rsidDel="00000000">
      <w:rPr>
        <w:rtl w:val="0"/>
      </w:rPr>
      <w:t xml:space="preserve">09.06.2026. 11.51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Izziņa_26-TA-204.docx</dc:title>
</cp:coreProperties>
</file>

<file path=docProps/custom.xml><?xml version="1.0" encoding="utf-8"?>
<Properties xmlns="http://schemas.openxmlformats.org/officeDocument/2006/custom-properties" xmlns:vt="http://schemas.openxmlformats.org/officeDocument/2006/docPropsVTypes"/>
</file>