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26-TA-1000: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15. augusta noteikumos Nr. 463 "Programmas "Iespējkapitāla ieguldījumi"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15:54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sniegto informāciju kontekstā ar problēmas aprakstu, skaidrojot, ka, piemēram, sākotnēji noteiktie Iespējkapitāla fondu finanšu starpnieku vadības maksas attiecināšanas nosacījumi bija pretrunā ar regulas nosacījumiem gadījumā, ja investīciju periodā gala saņēmējos veikti ieguldījumi būtu mazāk nekā 70 % apmērā no katra attiecīgā fonda parakstītā kapitāla, vienlaicīgi sniedzot detalizētāku skaidrojumu par plānoto atmaksu finansējuma izmantošanu un tā tiesisko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programmas īstenošanai paredzēts izmantot no garantijām saimnieciskās darbības veicējiem konkurētspējas uzlabošanai atbrīvoto atmaksu finansējumu, kas veidojies no 2007.–2013. gada plānošanas perioda komersantu garantiju programmas publiskā finansējuma atmaksām, kā arī ka šādus atkārtoti pieejamus līdzekļus ir pieļaujams izmantot fondu pārvaldnieka vadības maksas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finansējuma apmērs no ES fondu  2014-2020.peioda "Riska kapitāls" atmaksām.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skaidrāku izpratni par piedāvāto risinājumu, lūdzam anotāciju papildināt ar detalizētu, izsekojamu skaidrojumu, ka minētās atmaksas ir radušās no iepriekšējo plānošanas periodu finanšu instrumentiem, kuru regulējumā noteiktie atkārtotas ieguldīšanas nosacījumi un termiņi ir izpildīti, kā rezultātā šie līdzekļi vairs netiek uzskatīti par attiecīgā ES fondu plānošanas perioda resursiem un ir izmantojami kā nacionālais finansējums.  Vienlaikus lūdzam precizēt noteikumu projekta anotācija 1.3. sadaļā ietvertajā teikumu “Programmas ietvaros paredzētais 2014.-2020.gada plānošanas perioda atmaksu finansējums šobrīd vēl ir veidošanās stadijā, jo “Riska kapitāla” programmā ieguldījumi vēl nav realizēti, savukārt nepieciešamība izmantot šos atmaksu resursus, lai finansētu Iespējkapitāla fondu finanšu starpnieku vadības maksu, var rasties pirms attiecīgo atmaksu uzkrāšanās”, jo tas rada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sadaļā "Risinājuma apraksts" skaidrot, vai ar terminu "investīciju periods" šo noteikumu izpratnē ir saprotams "ESIF izdevumu attiecināmības periods vai 'iespējkapitāla ieguldījumu periods', kas var būt ir atšķirīgi periodi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programmas īstenošanai pieejams no garantijām saimnieciskās darbības veicējiem konkurētspējas uzlabošanai atbrīvotais atmaksu finansējums 7 000 000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izriet, ka "Programmas finansēšanai paredzēts izmantot no garantijām saimnieciskās darbības veicējiem konkurētspējas uzlabošanai atbrīvotais atmaksu finansējums, kas veidojies no 2007.-2013.gada plānošanas perioda komersantu garantiju programmas publiskā finansējuma atmaksu finansējuma atmaksām. Šāda pieeja nodrošina efektīvāku šobrīd pieejamā finansējuma izmantošanu". Lūdzam papildināt noteikumu projekta 4.punktā izteikto noteikumu 5.3. apakšpunktu skaidri norādot no kāda plānošanas  perioda ir radies attiecīgais atmaksu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MK noteikumu projekta 5.punkts papildināts ar finansējuma avotu, kur paredz, ka 7 000 000 euro apmērā programmas īstenošanai pieejams no garantijām saimnieciskās darbības veicējiem konkurētspējas uzlabošanai atbrīvotais atmaksu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finansējums veido atmaksas, kas atkārtoti radušās no līdzekļiem, kuri jau vienu reizi izmantoti (ieguldīti) gala labuma guvējos un kuru izmantošanas cikls (t.i., garantiju saistību termiņš vai atmaksas periods) ir noslēdzies. Šādus atkārtoti pieejamus (recirkulētus) līdzekļus ir pieļaujams izmantot arī fondu pārvaldnieka vadības maksas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programmas īstenošanai pieejams no garantijām saimnieciskās darbības veicējiem konkurētspējas uzlabošanai atbrīvotais atmaksu finansējums 7 000 000 </w:t>
            </w:r>
            <w:r w:rsidR="00000000" w:rsidRPr="00000000" w:rsidDel="00000000">
              <w:rPr>
                <w:i w:val="1"/>
                <w:rtl w:val="0"/>
              </w:rPr>
              <w:t xml:space="preserve">euro </w:t>
            </w:r>
            <w:r w:rsidR="00000000" w:rsidRPr="00000000" w:rsidDel="00000000">
              <w:rPr>
                <w:rtl w:val="0"/>
              </w:rPr>
              <w:t xml:space="preserve">apmērā.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17:57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detalizētāku un skaidrāku informāciju par ierosināto grozījumu būtību, mērķi un nepieciešamību. Vēršam uzmanību, ka pašreiz anotācijā nav pietiekami skaidri identificēta problēma, kuru ar attiecīgajiem grozījumiem paredzēts risināt, kā arī nav pilnvērtīgi izskaidrots plānoto izmaiņu praktiskais tvērums, piemērošanas nosacījumi un paredzamā ietekme uz iesaistītajām pusēm, kā arī nodrošinot ES fondu līdzfinansētu finanšu instrumentu ieviešanas atbilstību ES regulējumam un drošas finanšu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informāciju par MK noteikumu 5.3. punktā paredzētajām garantijām saimnieciskās darbības veicēju konkurētspējas uzlabošanai, tostarp skaidri norādot finansējuma avotu, no kura paredzēts segt starpnieku vadības izmaksu korekcijas. Gadījumā, ja minētās izmaksas paredzēts kompensēt no iepriekšējo periodu atmaksām (valsts budžeta līdzekļi), vēršam uzmanību, ka attiecīgs lēmums pieņemams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ņemot vērā investīciju perioda ilgumu (pieci gadi), nav nepieciešams paredzēt MK noteikumu darbības termiņa pagarinājumu, lai nodrošinātu pilnvērtīgu visu starpnieku darbības rezultātu izvērtēšanu pret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finansēšanai paredzēts izmantot no garantijām saimnieciskās darbības veicējiem konkurētspējas uzlabošanai atbrīvotais atmaksu finansējums, kas veidojies no 2007.-2013.gada plānošanas perioda komersantu garantiju programmas publiskā finansējuma atmaksu finansējuma atmaksām.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lēmumu par atmaksu finansējuma izmantošanu pieņem Ministru kabinets, apstiprinot attiecīgus grozījumus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šiem MK noteikumiem nav noteikts darbības termiņš. Programmas MK noteikumi būs spēkā līdz programmas īstenošanai pabeigšanai – arī pēcinvestīciju periodā. Grozījumu projektā paredzēts 5.2 punktā noteikt, ka “Ja investīciju periodā ir veikti ieguldījumi gala saņēmējos mazāk nekā 70 % apmērā [..]”, tas ir, ir svītrots 2029.gada decembra termiņš un tas ir aizstāts ar “investīciju periodu”, kas ir līdz 5 gadiem, tādējādi paredzot prasību, ka tiek izvērtēts finanšu starpnieku sniegums visa investīciju perioda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tas nav uzskatāms par grūtībās nonākušu uzņēmumu saskaņā ar Komisijas regulas Nr.  </w:t>
            </w:r>
            <w:r w:rsidR="00000000" w:rsidRPr="00000000" w:rsidDel="00000000">
              <w:rPr>
                <w:rtl w:val="0"/>
              </w:rPr>
              <w:t xml:space="preserve">651/2014</w:t>
            </w:r>
            <w:r w:rsidR="00000000" w:rsidRPr="00000000" w:rsidDel="00000000">
              <w:rPr>
                <w:rtl w:val="0"/>
              </w:rPr>
              <w:t xml:space="preserve"> 2. panta 18. punktu un ir iesniedzis apliecinājumu, ka tas neatbilst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noteikumu redakcijas ir viennozīmīgi skaidrs, ka Komisijas 2014. gada 17. jūnija Regulas Nr. 651/2014, ar ko noteiktas atbalsta kategorijas atzīst par saderīgām ar iekšējo tirgu, piemērojot Līguma 107. un 108. pantu (turpmāk - Komisijas Regula Nr. 651/2014) 2. panta 18. punkta nosacījumi ir jāvērtē/jāpiemēro uzņēmuma grupas līmenī (Komisijas Regulas Nr. 651/2014 angliskajā versijā nosacījumi, kas ir attiecināmi uz "undertaking", ir jāpārbauda/jāpiemēro uzņēmuma grupas līmenī), attiecīgi lūdzam precizēt MK noteikumu 2.1.4. un 2.4.2.. apakšpunktus, paredzot, ka pirms atbalsta piešķiršanas finanšu starpnieks un gala labuma guvējs tiek vērtēts grupas līmenī. Lūdzam pēc analoģijas precizēt arī noteikumu projekta 22.2.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grūtībās nonākuša uzņēmuma pazīmes un atbilstību Komisijas regulas Nr. 651/2014 1. panta 4. punkta "a" apakšpunktam izvērtē atbalsta piešķiršanas brīdī. Attiecīgi lūdzam papildināt MK noteikumus, ietverot norādi, kad tiek  vērtēts finanšu starpnieks un gala labuma guvējs (uzņēmuma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2.1.4., 2.4.2. un 22.2. apakšpunkti precizēti atbilstoši priekšlikumā minētajam.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tas (uzņēmuma grupas līmenī) nav uzskatāms par grūtībās nonākušu uzņēmumu saskaņā ar Komisijas regulas Nr. </w:t>
            </w:r>
            <w:r w:rsidR="00000000" w:rsidRPr="00000000" w:rsidDel="00000000">
              <w:rPr>
                <w:rtl w:val="0"/>
              </w:rPr>
              <w:t xml:space="preserve">651/2014</w:t>
            </w:r>
            <w:r w:rsidR="00000000" w:rsidRPr="00000000" w:rsidDel="00000000">
              <w:rPr>
                <w:rtl w:val="0"/>
              </w:rPr>
              <w:t xml:space="preserve"> 2. panta 18. punktu un ir iesniedzis apliecinājumu, ka tas (uzņēmuma grupas līmenī) neatbilst normatīvajos aktos noteiktajiem kritērijiem, lai tam pēc kreditoru pieprasījuma pieprasītu maksātnespējas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investīciju periodā ir veikti ieguldījumi gala saņēmējos mazāk nekā 70 % apmērā no katra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w:t>
            </w:r>
            <w:r w:rsidR="00000000" w:rsidRPr="00000000" w:rsidDel="00000000">
              <w:rPr>
                <w:rtl w:val="0"/>
              </w:rPr>
              <w:t xml:space="preserve"> minētais finansējums, ievērojot investīciju perioda efektīvo laiku, tad finanšu starpnieka pārvaldības maksa, kas aprēķināta un izmaksāta finanšu starpniekam par investīciju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attiecībā uz visiem finanšu avotiem ir skaidri nosacījumi finanšu starpnieka pārvaldības maksai, lūdzam papildināt 5.</w:t>
            </w:r>
            <w:r w:rsidR="00000000" w:rsidRPr="00000000" w:rsidDel="00000000">
              <w:rPr>
                <w:vertAlign w:val="superscript"/>
                <w:rtl w:val="0"/>
              </w:rPr>
              <w:t xml:space="preserve">2</w:t>
            </w:r>
            <w:r w:rsidR="00000000" w:rsidRPr="00000000" w:rsidDel="00000000">
              <w:rPr>
                <w:rtl w:val="0"/>
              </w:rPr>
              <w:t xml:space="preserve">.punktu ar apakšpunktu arī attiecībā uz šo noteikumu 5.2.punktā norādīto finansējumu, kas šobrīd ir dzēsts, aizstājot ar atsauci tikai uz šo noteikumu 5.3.apakšpunktu.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punkta mērķis ir noteikt mērķi ERAF finansējuma apguvei, šobrīd punkta redakcija paredz, ka, ja līdz 2029.g beigām ir ieguldīti mazāk kā 70% no ieguldījumiem uzņēmumos paredzētā kapitāla, kas finansēts no ERAF, tad vadības maksu attiecina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attiecināmības perioda laikā nav pamata izmantot kādu no atmaksu finansējuma avotiem, lai veiktu investīcijas gala saņēmējos, un nav arī pamata izvirzīt šādas apguves prasības uz atmaksu finansējumu, jo mērķis ir nodrošināt maksimālu ERAF finansējuma ieguldīšanu gala saņēmējos.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investīciju periodā ir veikti ieguldījumi gala saņēmējos mazāk nekā 70 % apmērā no katra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 minētais finansējums, tad finanšu starpnieka pārvaldības maksa, kas aprēķināta un izmaksāta finanšu starpniekam par investīciju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informācijas publicēšanu par šo noteikumu ietvaros izsniegto atbalstu atbilstoši Komisijas regulas Nr.  </w:t>
            </w:r>
            <w:r w:rsidR="00000000" w:rsidRPr="00000000" w:rsidDel="00000000">
              <w:rPr>
                <w:rtl w:val="0"/>
              </w:rPr>
              <w:t xml:space="preserve">651/2014</w:t>
            </w:r>
            <w:r w:rsidR="00000000" w:rsidRPr="00000000" w:rsidDel="00000000">
              <w:rPr>
                <w:rtl w:val="0"/>
              </w:rPr>
              <w:t xml:space="preserve"> 9. panta 1., 2. un 4. punktam, ievērojot normatīvo aktu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(turpmāk – MK noteikumi Nr.386), ar kuru tika grozīts iepriekš minēto MK noteikumu Nr.386 nosaukums uz "Kārtība, kādā publicē informāciju par sniegto komercdarbības atbalstu", lūdzam atbilstoši precizēt noteikumu 44.2.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44.2. apakšpunkts precizēts, norādot precizēto MK noteikumu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informācijas publicēšanu par šo noteikumu ietvaros izsniegto atbalstu atbilstoši Komisijas regulas Nr. </w:t>
            </w:r>
            <w:r w:rsidR="00000000" w:rsidRPr="00000000" w:rsidDel="00000000">
              <w:rPr>
                <w:rtl w:val="0"/>
              </w:rPr>
              <w:t xml:space="preserve">651/2014</w:t>
            </w:r>
            <w:r w:rsidR="00000000" w:rsidRPr="00000000" w:rsidDel="00000000">
              <w:rPr>
                <w:rtl w:val="0"/>
              </w:rPr>
              <w:t xml:space="preserve"> 9. panta 1., 2. un 4. punktam, ievērojot normatīvo aktu par kārtību, kādā publicē informāciju par sniegto komercdarbības atbalstu.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26-TA-1000</w:t>
    </w:r>
    <w:r>
      <w:br/>
    </w:r>
    <w:r w:rsidR="00000000" w:rsidRPr="00000000" w:rsidDel="00000000">
      <w:rPr>
        <w:rtl w:val="0"/>
      </w:rPr>
      <w:t xml:space="preserve">10.08.2026. 17.13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26-TA-1000</w:t>
    </w:r>
    <w:r>
      <w:br/>
    </w:r>
    <w:r w:rsidR="00000000" w:rsidRPr="00000000" w:rsidDel="00000000">
      <w:rPr>
        <w:rtl w:val="0"/>
      </w:rPr>
      <w:t xml:space="preserve">10.08.2026. 17.13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Izziņa_26-TA-1000.docx</dc:title>
</cp:coreProperties>
</file>

<file path=docProps/custom.xml><?xml version="1.0" encoding="utf-8"?>
<Properties xmlns="http://schemas.openxmlformats.org/officeDocument/2006/custom-properties" xmlns:vt="http://schemas.openxmlformats.org/officeDocument/2006/docPropsVTypes"/>
</file>