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3. jūlija noteikumos Nr. 392 "Kārtība, kādā Noziedzīgi iegūtu līdzekļu legalizācijas un terorisma finansēšanas novēršanas likuma subjekts veic klienta neklātienes identifikāciju"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7.3.</w:t>
            </w:r>
            <w:r w:rsidR="00000000" w:rsidRPr="00000000" w:rsidDel="00000000">
              <w:rPr>
                <w:rtl w:val="0"/>
              </w:rPr>
              <w:t xml:space="preserve"> vai </w:t>
            </w:r>
            <w:r w:rsidR="00000000" w:rsidRPr="00000000" w:rsidDel="00000000">
              <w:rPr>
                <w:rtl w:val="0"/>
              </w:rPr>
              <w:t xml:space="preserve">7.4.</w:t>
            </w:r>
            <w:r w:rsidR="00000000" w:rsidRPr="00000000" w:rsidDel="00000000">
              <w:rPr>
                <w:rtl w:val="0"/>
              </w:rPr>
              <w:t xml:space="preserve"> apakšpunkts nav piemērojams, ja klients vai patiesais labuma guvējs ir saistīts ar augsta riska trešo valsti vai zemu nodokļu vai beznodokļu valsti vai teritoriju, kā arī citos gadījumos, balstoties uz likuma subjekta veiktu risku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(FID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"Grozījumi Ministru kabineta 2018. gada 3. jūlija noteikumos Nr. 392  "Kārtība, kādā Noziedzīgi iegūtu līdzekļu legalizācijas un terorisma finansēšanas novēršanas likuma subjekts  veic klienta neklātienes identifikāciju"" (turpmāk – Projekts) ir ietverts grozījums izteikt Ministru kabineta 2018. gada 3. jūlija noteikumu Nr. 392  "Kārtība, kādā Noziedzīgi iegūtu līdzekļu legalizācijas un terorisma finansēšanas novēršanas likuma subjekts veic klienta neklātienes identifikāciju" (turpmāk – noteikumi)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Šo noteikumu 7.3. vai 7.4. apakšpunkts nav piemērojams, ja klients vai patiesais labuma guvējs ir saistīts ar augsta riska trešo valsti vai zemu nodokļu vai beznodokļu valsti vai teritoriju, kā arī citos gadījumos, balstoties uz likuma subjekta veiktu risku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dienesta ieskatā Projekta 12. punktā būtu jāietver, ka noteikumu 7.3. vai 7.4. apakšpunkts nav piemērojams arī, ja klients vai patiesais labuma guvējs ir saistīts ar valsti vai teritoriju pret kuru noteiktas starptautiskās vai nacionālās sankcijas vai būtiskas finanšu un kapitāla tirgus intereses ietekmējošas Eiropas Savienības vai Ziemeļatlantijas līguma organizācijas dalībvalsts sankcijas.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piedāvā izteikt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Šo noteikumu 7.3. vai 7.4. apakšpunkts nav piemērojams, ja klients vai patiesais labuma guvējs ir saistīts ar augsta riska trešo valsti, zemu nodokļu vai beznodokļu valsti vai teritoriju vai valsti vai teritoriju pret kuru noteiktas starptautiskās vai nacionālās sankcijas vai būtiskas finanšu un kapitāla tirgus intereses ietekmējošas Eiropas Savienības vai Ziemeļatlantijas līguma organizācijas dalībvalsts sankcijas, kā arī citos gadījumos, balstoties uz likuma subjekta veiktu risku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starptautisko un nacionālo sankciju jomu Noteikumu 12. punktā varētu radīt neskaidrības tās piemērošanā un interpretācijā. Par priekšlikumu iebildumus izteica arī Latvijas Finanšu nozares asociācija, norādot uz virkni problēmu šādas normas interpretācijā un praktiskajā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dienesta priekšlikums tika skatīts kontekstā ar nozari pārstāvošās organizācijas iebildi un 2022.gada 13.maijā tika saņemts Finanšu izlūkošanas dienesta saskaņojums Noteikumu projekta tālākai virzībai, saglabājot Noteikumu 12. punktu redakcijā, kādā tas sākotnēji tika piedāvāts, proti, neparedzot tajā atsauci uz nacionālajām un starptautiskajām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(5. punkts) papildināts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Likuma subjekta veikto risku novērtējumu, Likuma subjektam jāņem vērā klienta un tā patiesā labuma guvēja saistība ar paaugstināta riska jurisdikciju (Likuma 11.</w:t>
            </w:r>
            <w:r w:rsidR="00000000" w:rsidRPr="00000000" w:rsidDel="00000000">
              <w:rPr>
                <w:vertAlign w:val="superscript"/>
                <w:rtl w:val="0"/>
              </w:rPr>
              <w:t xml:space="preserve">1</w:t>
            </w:r>
            <w:r w:rsidR="00000000" w:rsidRPr="00000000" w:rsidDel="00000000">
              <w:rPr>
                <w:rtl w:val="0"/>
              </w:rPr>
              <w:t xml:space="preserve"> panta trešās daļas 2. punkts). Likuma subjektam, konstatējot klienta vai tā patiesā labuma guvēja saistību ar  valsti un teritoriju, pret kuru Apvienoto Nāciju Organizācija, Amerikas Savienotās Valstis vai Eiropas Savienība ir noteikusi finanšu vai civiltiesiskus ierobežojumus, balstoties uz risku novērtējumu būtu jālemj par piemērojamiem attālinātās identifikācijas pasākumiem, ievērojot Noteikumu 12. punktā paredzētos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7.3.</w:t>
            </w:r>
            <w:r w:rsidR="00000000" w:rsidRPr="00000000" w:rsidDel="00000000">
              <w:rPr>
                <w:rtl w:val="0"/>
              </w:rPr>
              <w:t xml:space="preserve"> vai </w:t>
            </w:r>
            <w:r w:rsidR="00000000" w:rsidRPr="00000000" w:rsidDel="00000000">
              <w:rPr>
                <w:rtl w:val="0"/>
              </w:rPr>
              <w:t xml:space="preserve">7.4.</w:t>
            </w:r>
            <w:r w:rsidR="00000000" w:rsidRPr="00000000" w:rsidDel="00000000">
              <w:rPr>
                <w:rtl w:val="0"/>
              </w:rPr>
              <w:t xml:space="preserve"> apakšpunkts nav piemērojams, ja klients vai patiesais labuma guvējs ir saistīts ar augsta riska trešo valsti vai zemu nodokļu vai beznodokļu valsti vai teritoriju, kā arī citos gadījumos, balstoties uz likuma subjekta veiktu risku novērtējumu.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Klienta neklātienes identifikāciju piemēro, pamatojoties uz risku balstītu pieeju, ja likuma subjekts pirms identifikācijas ir nodrošinājis visu šādu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un terorisma un proliferācijas finansēšanas novēršanas likumā tiek lietots jēdziens "uz risku novērtējumu balstīta pieeja", bet netiek lietots - "uz risku balstīta pieeja". Aicinām lietot likumā izmantoto terminoloģiju šeit un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Klienta neklātienes identifikāciju piemēro, pamatojoties uz risku novērtējumu, ja likuma subjekts pirms identifikācijas ir nodrošinājis visu šādu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Klienta neklātienes identifikāciju piemēro, pamatojoties uz risku novērtējumu, ja likuma subjekts pirms identifikācijas ir nodrošinājis visu šādu nosacījumu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Likuma subjekts atbilstoši tā veiktam noziedzīgi iegūtu līdzekļu legalizācijas un terorisma un proliferācijas finansēšanas risu novērtējumam izmanto vienu vai vairākus šādus tehnoloģiskos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aizstājot "risu" ar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Likuma subjekts atbilstoši tā veiktam noziedzīgi iegūtu līdzekļu legalizācijas un terorisma un proliferācijas finansēšanas risku novērtējumam izmanto vienu vai vairākus šādus tehnoloģiskos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7.punkta ievaddaļa.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Likuma subjekts atbilstoši tā veiktam noziedzīgi iegūtu līdzekļu legalizācijas un terorisma un proliferācijas finansēšanas risku novērtējumam izmanto vienu vai vairākus šādus tehnoloģiskos risinājumus: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7.3.</w:t>
            </w:r>
            <w:r w:rsidR="00000000" w:rsidRPr="00000000" w:rsidDel="00000000">
              <w:rPr>
                <w:rtl w:val="0"/>
              </w:rPr>
              <w:t xml:space="preserve"> vai </w:t>
            </w:r>
            <w:r w:rsidR="00000000" w:rsidRPr="00000000" w:rsidDel="00000000">
              <w:rPr>
                <w:rtl w:val="0"/>
              </w:rPr>
              <w:t xml:space="preserve">7.4.</w:t>
            </w:r>
            <w:r w:rsidR="00000000" w:rsidRPr="00000000" w:rsidDel="00000000">
              <w:rPr>
                <w:rtl w:val="0"/>
              </w:rPr>
              <w:t xml:space="preserve"> apakšpunkts nav piemērojams, ja klients vai patiesais labuma guvējs ir saistīts ar augsta riska trešo valsti vai zemu nodokļu vai beznodokļu valsti vai teritoriju, kā arī citos gadījumos, balstoties uz likuma subjekta veiktu risku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vērš uzmanību, ka tiesību akta projekta "Grozījumi Ministru kabineta 2018. gada 3. jūlija noteikumos Nr. 392  "Kārtība, kādā Noziedzīgi iegūtu līdzekļu legalizācijas un terorisma finansēšanas novēršanas likuma subjekts  veic klienta neklātienes identifikāciju"" (turpmāk – Projekts) sākotnējās ietekmes (ex-ante) novērtējuma ziņojuma (anotācijas) risinājuma apraksta 5. punktā norādītais neatbilst Projekta 12. punktam. Norādāms, ka Projekta sākotnējās ietekmes (ex-ante) novērtējuma ziņojuma (anotācijas) risinājuma apraksta 5. punktā  ir norādīts, ka noteikumu 12. punktā paredzēta virkne ierobežojumu, kuros klienta neklātienes identifikācija nevar tikt veikta, tādējādi identificējot, ka nevar tikt veikti visi neklātienes identifikācijas veidi. Turpretī Projekta 12. punktā ir ietverti vienīgi neklātienes identifikācijas veidi, kas minēti Projekta 7.3. un 7.4. apakšpunktā. Attiecīgi no Projekta 12. punkta izriet, ka noteikumu 7.1. un 7.2. apakšpunktā minētie tehnoloģiskie risinājumi ir piemērojami, ja klients vai patiesais labuma guvējs ir saistīts ar augsta riska trešo valsti vai zemu nodokļu vai beznodokļu valsti vai teritoriju, kā arī citos gadījumos, balstoties uz likuma subjekta veiktu risku novērtējumu. Ievērojot minēto, Finanšu izlūkošanas dienests aicina precizēt Projekta sākotnējās ietekmes (ex-ante) novērtējuma ziņojuma (anotācijas) risinājuma apraksta 5. punktu, norādot attiecīgos neklātienes identifikācijas veidus, kuri nevar tikt veikti gadījumā, ja tiek konstatēti noteikumu 12. punktā paredzētie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anotācijas 1.3.apakšpunktā (5.punkts), ietverot atsauci uz Noteikumu 7.3. un 7.4.apakšpunktā paredzētajiem identifikācijas risinājumiem.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7.3.</w:t>
            </w:r>
            <w:r w:rsidR="00000000" w:rsidRPr="00000000" w:rsidDel="00000000">
              <w:rPr>
                <w:rtl w:val="0"/>
              </w:rPr>
              <w:t xml:space="preserve"> vai </w:t>
            </w:r>
            <w:r w:rsidR="00000000" w:rsidRPr="00000000" w:rsidDel="00000000">
              <w:rPr>
                <w:rtl w:val="0"/>
              </w:rPr>
              <w:t xml:space="preserve">7.4.</w:t>
            </w:r>
            <w:r w:rsidR="00000000" w:rsidRPr="00000000" w:rsidDel="00000000">
              <w:rPr>
                <w:rtl w:val="0"/>
              </w:rPr>
              <w:t xml:space="preserve"> apakšpunkts nav piemērojams, ja klients vai patiesais labuma guvējs ir saistīts ar augsta riska trešo valsti vai zemu nodokļu vai beznodokļu valsti vai teritoriju, kā arī citos gadījumos, balstoties uz likuma subjekta veiktu risku novērtējumu.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ar identifikācijas maksājumu vai citu metodi, kas ļauj saņemt no kredītiestādes vai maksājumu iestādes fiziskas personas identitāti apliecinošus datus, likuma subjekts iegūst pietiekamus datus, kas norādīti likumā un atbilst iekšējās kontroles sistēmā noteiktajam, lai pārliecinātos par fiziskas personas identitāti un salīdzinātu ar datiem, ko klients ir sniedzis likuma subjektam;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(FKTK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noteikumu 13.2.apakšpunktu papildināt ar vārdiem "likuma subjekta" pirms vārdiem "iekšējās kontroles sistēmā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ar identifikācijas maksājumu vai citu metodi, kas ļauj saņemt no kredītiestādes vai maksājumu iestādes fiziskas personas identitāti apliecinošus datus, likuma subjekts iegūst pietiekamus datus, kas norādīti likumā un atbilst likuma subjekta iekšējās kontroles sistēmā noteiktajam, lai pārliecinātos par fiziskas personas identitāti un salīdzinātu ar datiem, ko klients ir sniedzis likuma subjektam;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13.2.apakšpunkts.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ar identifikācijas maksājumu vai citu metodi, kas ļauj saņemt no kredītiestādes vai maksājumu iestādes fiziskas personas identitāti apliecinošus datus, likuma subjekts iegūst pietiekamus datus, kas norādīti likumā un atbilst likuma subjekta iekšējās kontroles sistēmā noteiktajam, lai pārliecinātos par fiziskas personas identitāti un salīdzinātu ar datiem, ko klients ir sniedzis likuma subjektam;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ar identifikācijas maksājumu vai citu metodi, kas ļauj saņemt no kredītiestādes vai maksājumu iestādes fiziskas personas identitāti apliecinošus datus, likuma subjekts iegūst pietiekamus datus, kas norādīti likumā un atbilst iekšējās kontroles sistēmā noteiktajam, lai pārliecinātos par fiziskas personas identitāti un salīdzinātu ar datiem, ko klients ir sniedzis likuma subjektam;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(FKTK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ar identifikācijas maksājumu vai citu metodi, kas ļauj saņemt no kredītiestādes vai maksājumu iestādes fiziskas personas identitāti apliecinošus datus, likuma subjekts iegūst pietiekamus datus, kas norādīti likumā un atbilst iekšējās kontroles sistēmā noteiktajam, lai pārliecinātos par fiziskas personas identitāti un salīdzinātu ar datiem, ko klients ir sniedzis likuma subjektam;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13.2.apakšpunkts.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ar identifikācijas maksājumu vai citu metodi, kas ļauj saņemt no kredītiestādes vai maksājumu iestādes fiziskas personas identitāti apliecinošus datus, likuma subjekts iegūst pietiekamus datus, kas norādīti likumā un atbilst likuma subjekta iekšējās kontroles sistēmā noteiktajam, lai pārliecinātos par fiziskas personas identitāti un salīdzinātu ar datiem, ko klients ir sniedzis likuma subjektam;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ar identifikācijas maksājumu vai citu metodi, kas ļauj saņemt no kredītiestādes vai maksājumu iestādes fiziskas personas identitāti apliecinošus datus, likuma subjekts iegūst pietiekamus datus, kas norādīti likumā un atbilst iekšējās kontroles sistēmā noteiktajam, lai pārliecinātos par fiziskas personas identitāti un salīdzinātu ar datiem, ko klients ir sniedzis likuma subjektam;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(FKTK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noteikumu 13.2.apakšpunktu papildināt ar vārdiem "likuma subjekta" pirms vārdiem "iekšējās kontroles sistēmā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ar identifikācijas maksājumu vai citu metodi, kas ļauj saņemt no kredītiestādes vai maksājumu iestādes fiziskas personas identitāti apliecinošus datus, likuma subjekts iegūst pietiekamus datus, kas norādīti likumā un atbilst likuma subjekta iekšējās kontroles sistēmā noteiktajam, lai pārliecinātos par fiziskas personas identitāti un salīdzinātu ar datiem, ko klients ir sniedzis likuma subjektam;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13.2.apakšpunkts.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ar identifikācijas maksājumu vai citu metodi, kas ļauj saņemt no kredītiestādes vai maksājumu iestādes fiziskas personas identitāti apliecinošus datus, likuma subjekts iegūst pietiekamus datus, kas norādīti likumā un atbilst likuma subjekta iekšējās kontroles sistēmā noteiktajam, lai pārliecinātos par fiziskas personas identitāti un salīdzinātu ar datiem, ko klients ir sniedzis likuma subjektam;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22-TA-378</w:t>
    </w:r>
    <w:r>
      <w:br/>
    </w:r>
    <w:r w:rsidR="00000000" w:rsidRPr="00000000" w:rsidDel="00000000">
      <w:rPr>
        <w:rtl w:val="0"/>
      </w:rPr>
      <w:t xml:space="preserve">16.05.2022. 16.13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22-TA-378</w:t>
    </w:r>
    <w:r>
      <w:br/>
    </w:r>
    <w:r w:rsidR="00000000" w:rsidRPr="00000000" w:rsidDel="00000000">
      <w:rPr>
        <w:rtl w:val="0"/>
      </w:rPr>
      <w:t xml:space="preserve">16.05.2022. 16.13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Izziņa_22-TA-378.docx</dc:title>
</cp:coreProperties>
</file>

<file path=docProps/custom.xml><?xml version="1.0" encoding="utf-8"?>
<Properties xmlns="http://schemas.openxmlformats.org/officeDocument/2006/custom-properties" xmlns:vt="http://schemas.openxmlformats.org/officeDocument/2006/docPropsVTypes"/>
</file>