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"Ziedoņi" ("Ziedoņu kalte") Brunavas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"Ziedoņi" ("Ziedoņu kalte"), nekustamā īpašuma kadastra Nr.4046 010 0001, daļu - zemes vienību (zemes vienības kadastra apzīmējums 4046 010 0117) 2,74 ha platībā, zemes vienību (zemes vienības kadastra apzīmējums 4046 010 0118) 0,6212 ha platībā, zemes vienību (zemes vienības kadastra apzīmējums 4046 018 0088) 0,0905 ha platībā un zemes vienību (zemes vienības kadastra apzīmējums 4046 018 0089) 0,0778 ha platībā - Brunavas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rīkojuma projekta paskaidrojošajiem dokumentiem aktuālās izdrukas no Nekustamā īpašuma valsts kadastra informācijas sistēmas un zemesgrāmatas nodalījuma, jo rīkojuma projektā ietvertajai informācijai (konkrētajā gadījumā - atsavināmajām zemes vienībām (to kadastra apzīmējumiem)) ir jābūt atbilstošai tiem datiem, kas pieejami publiskajos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Paskaidrojošajiem dokumentiem ir pievienotas aktuālās izdrukas no Nekustamā īpašuma valsts kadastra informācijas sistēmas un zemesgrāmatas nodalījuma.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"Ziedoņi" ("Ziedoņu kalte"), nekustamā īpašuma kadastra Nr.4046 010 0001, daļu - zemes vienību (zemes vienības kadastra apzīmējums 4046 010 0117) 2,74 ha platībā, zemes vienību (zemes vienības kadastra apzīmējums 4046 010 0118) 0,6212 ha platībā, zemes vienību (zemes vienības kadastra apzīmējums 4046 018 0088) 0,0905 ha platībā un zemes vienību (zemes vienības kadastra apzīmējums 4046 018 0089) 0,0778 ha platībā - Brunavas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kopējā atsavināmā zemes gabala platība,</w:t>
            </w:r>
            <w:r w:rsidR="00000000" w:rsidRPr="00000000" w:rsidDel="00000000">
              <w:rPr>
                <w:u w:val="single"/>
                <w:rtl w:val="0"/>
              </w:rPr>
              <w:t xml:space="preserve"> par kuru tika saņemts akcepts </w:t>
            </w:r>
            <w:r w:rsidR="00000000" w:rsidRPr="00000000" w:rsidDel="00000000">
              <w:rPr>
                <w:rtl w:val="0"/>
              </w:rPr>
              <w:t xml:space="preserve">no personas, kurai par labu zemesgrāmatā ir nostiprināta ķīlas tiesība, pēc zemes kadastrālās uzmērīšanas ir palielinājusies.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Sabiedrības vajadzībām nepieciešamā nekustama īpašuma atsavināšanas likuma 11. panta 21) daļu Institūcija pēc šā likuma 9.panta pirmajā daļā minētā lēmuma pieņemšanas, nosūtot nekustamā īpašuma īpašniekam paziņojumu ar uzaicinājumu noslēgt līgumu par nekustamā īpašuma labprātīgu atsavināšanu, informē arī personu, kurai par labu attiecībā uz nekustamo īpašumu ir nostiprināta ķīlas 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minētajām personām būs nosūtāma informācija par kadastrālās uzmērīšanas procesa pabeigšanu un nekustamā īpašuma atsavināmās daļas platību, kā arī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atsavināšanas procesu ietekmēs zemesgrāmatā nostiprinātās ķīlas tiesības un aizlieguma atzīmes.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24-TA-1399</w:t>
    </w:r>
    <w:r>
      <w:br/>
    </w:r>
    <w:r w:rsidR="00000000" w:rsidRPr="00000000" w:rsidDel="00000000">
      <w:rPr>
        <w:rtl w:val="0"/>
      </w:rPr>
      <w:t xml:space="preserve">27.08.2024. 09.57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24-TA-1399</w:t>
    </w:r>
    <w:r>
      <w:br/>
    </w:r>
    <w:r w:rsidR="00000000" w:rsidRPr="00000000" w:rsidDel="00000000">
      <w:rPr>
        <w:rtl w:val="0"/>
      </w:rPr>
      <w:t xml:space="preserve">27.08.2024. 09.57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Izziņa_24-TA-1399.docx</dc:title>
</cp:coreProperties>
</file>

<file path=docProps/custom.xml><?xml version="1.0" encoding="utf-8"?>
<Properties xmlns="http://schemas.openxmlformats.org/officeDocument/2006/custom-properties" xmlns:vt="http://schemas.openxmlformats.org/officeDocument/2006/docPropsVTypes"/>
</file>