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9935D8" w14:textId="77777777" w:rsidR="00424348" w:rsidRDefault="00797E10">
      <w:r>
        <w:rPr>
          <w:noProof/>
        </w:rPr>
        <mc:AlternateContent>
          <mc:Choice Requires="wps">
            <w:drawing>
              <wp:anchor distT="0" distB="0" distL="114300" distR="114300" simplePos="0" relativeHeight="251658242" behindDoc="0" locked="0" layoutInCell="0" hidden="0" allowOverlap="1" wp14:anchorId="0A313CC4" wp14:editId="1DF4D4A4">
                <wp:simplePos x="0" y="0"/>
                <wp:positionH relativeFrom="column">
                  <wp:posOffset>-187325</wp:posOffset>
                </wp:positionH>
                <wp:positionV relativeFrom="paragraph">
                  <wp:posOffset>0</wp:posOffset>
                </wp:positionV>
                <wp:extent cx="6324600" cy="1297305"/>
                <wp:effectExtent l="0" t="0" r="0" b="0"/>
                <wp:wrapNone/>
                <wp:docPr id="2" name="Text Box 7"/>
                <wp:cNvGraphicFramePr/>
                <a:graphic xmlns:a="http://schemas.openxmlformats.org/drawingml/2006/main">
                  <a:graphicData uri="http://schemas.microsoft.com/office/word/2010/wordprocessingShape">
                    <wps:wsp>
                      <wps:cNvSpPr>
                        <a:extLst>
                          <a:ext uri="smNativeData">
                            <sm:smNativeData xmlns:w16sdtdh="http://schemas.microsoft.com/office/word/2020/wordml/sdtdatahash" xmlns="" xmlns:o="urn:schemas-microsoft-com:office:office" xmlns:v="urn:schemas-microsoft-com:vml" xmlns:w10="urn:schemas-microsoft-com:office:word" xmlns:w="http://schemas.openxmlformats.org/wordprocessingml/2006/main" xmlns:sm="smNativeData" val="SMDATA_12_qBs+YBMAAAAlAAAAZAAAAA0AAAAAkAAAAEgAAACQAAAASAAAAAAAAAAA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ACgAAAAAAAAAAAAAAAAAAACAAAA2f7//wAAAAACAAAAAAAAAOgmAAD7BwAAAAAAAH4FAADZAwAAKAAAAAgAAAABAAAAAQAAAA=="/>
                          </a:ext>
                        </a:extLst>
                      </wps:cNvSpPr>
                      <wps:spPr>
                        <a:xfrm>
                          <a:off x="0" y="0"/>
                          <a:ext cx="6324600" cy="1297305"/>
                        </a:xfrm>
                        <a:prstGeom prst="rect">
                          <a:avLst/>
                        </a:prstGeom>
                        <a:solidFill>
                          <a:srgbClr val="FFFFFF"/>
                        </a:solidFill>
                        <a:ln>
                          <a:noFill/>
                        </a:ln>
                      </wps:spPr>
                      <wps:txbx>
                        <w:txbxContent>
                          <w:p w14:paraId="651781F1" w14:textId="77777777" w:rsidR="00424348" w:rsidRDefault="00797E10">
                            <w:pPr>
                              <w:jc w:val="center"/>
                              <w:rPr>
                                <w:rFonts w:ascii="Arial" w:hAnsi="Arial" w:cs="Arial"/>
                                <w:color w:val="3366FF"/>
                                <w:sz w:val="16"/>
                                <w:szCs w:val="16"/>
                              </w:rPr>
                            </w:pPr>
                            <w:r>
                              <w:rPr>
                                <w:noProof/>
                              </w:rPr>
                              <w:drawing>
                                <wp:inline distT="0" distB="0" distL="0" distR="0" wp14:anchorId="29100AF3" wp14:editId="6780E66A">
                                  <wp:extent cx="838200" cy="50482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a:extLst>
                                              <a:ext uri="smNativeData">
                                                <sm:smNativeData xmlns:w16sdtdh="http://schemas.microsoft.com/office/word/2020/wordml/sdtdatahash" xmlns="" xmlns:o="urn:schemas-microsoft-com:office:office" xmlns:v="urn:schemas-microsoft-com:vml" xmlns:w10="urn:schemas-microsoft-com:office:word" xmlns:w="http://schemas.openxmlformats.org/wordprocessingml/2006/main" xmlns:sm="smNativeData" val="SMDATA_14_qBs+YB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AAAAAHoAAAAAAAAAAAAAAAAAAAAAAAAAAAAAAAAAAAAAAAAAAAAAAoBQAAGwMAAAAAAAAAAAAAAAAAACgAAAAIAAAAAQAAAAEAAAA="/>
                                              </a:ext>
                                            </a:extLst>
                                          </pic:cNvPicPr>
                                        </pic:nvPicPr>
                                        <pic:blipFill>
                                          <a:blip r:embed="rId7"/>
                                          <a:stretch>
                                            <a:fillRect/>
                                          </a:stretch>
                                        </pic:blipFill>
                                        <pic:spPr>
                                          <a:xfrm>
                                            <a:off x="0" y="0"/>
                                            <a:ext cx="838200" cy="504825"/>
                                          </a:xfrm>
                                          <a:prstGeom prst="rect">
                                            <a:avLst/>
                                          </a:prstGeom>
                                          <a:noFill/>
                                          <a:ln w="12700">
                                            <a:noFill/>
                                          </a:ln>
                                        </pic:spPr>
                                      </pic:pic>
                                    </a:graphicData>
                                  </a:graphic>
                                </wp:inline>
                              </w:drawing>
                            </w:r>
                            <w:r>
                              <w:rPr>
                                <w:sz w:val="16"/>
                                <w:szCs w:val="16"/>
                              </w:rPr>
                              <w:tab/>
                            </w:r>
                            <w:r>
                              <w:rPr>
                                <w:sz w:val="16"/>
                                <w:szCs w:val="16"/>
                              </w:rPr>
                              <w:tab/>
                              <w:t xml:space="preserve">         </w:t>
                            </w:r>
                            <w:r>
                              <w:rPr>
                                <w:rFonts w:ascii="Arial" w:hAnsi="Arial" w:cs="Arial"/>
                                <w:b/>
                                <w:color w:val="3366FF"/>
                                <w:sz w:val="20"/>
                                <w:szCs w:val="20"/>
                              </w:rPr>
                              <w:t>LATVIJAS ELEKTROENERĢĒTIĶU UN ENERGOBŪVNIEKU ASOCIĀCIJA</w:t>
                            </w:r>
                            <w:r>
                              <w:rPr>
                                <w:rFonts w:ascii="Arial" w:hAnsi="Arial" w:cs="Arial"/>
                                <w:color w:val="3366FF"/>
                                <w:sz w:val="16"/>
                                <w:szCs w:val="16"/>
                              </w:rPr>
                              <w:tab/>
                            </w:r>
                            <w:r>
                              <w:rPr>
                                <w:rFonts w:ascii="Arial" w:hAnsi="Arial" w:cs="Arial"/>
                                <w:color w:val="FFFFFF"/>
                                <w:sz w:val="16"/>
                                <w:szCs w:val="16"/>
                                <w:shd w:val="clear" w:color="auto" w:fill="FFFFFF"/>
                              </w:rPr>
                              <w:t>_________________</w:t>
                            </w:r>
                            <w:r>
                              <w:rPr>
                                <w:rFonts w:ascii="Arial" w:hAnsi="Arial" w:cs="Arial"/>
                                <w:b/>
                                <w:color w:val="FFFFFF"/>
                                <w:sz w:val="16"/>
                                <w:szCs w:val="16"/>
                                <w:shd w:val="clear" w:color="auto" w:fill="FFFFFF"/>
                              </w:rPr>
                              <w:t>__</w:t>
                            </w:r>
                            <w:r>
                              <w:rPr>
                                <w:rFonts w:ascii="Arial" w:hAnsi="Arial" w:cs="Arial"/>
                                <w:b/>
                                <w:color w:val="3366FF"/>
                                <w:sz w:val="16"/>
                                <w:szCs w:val="16"/>
                              </w:rPr>
                              <w:t>_________________________________________________________________________________</w:t>
                            </w:r>
                          </w:p>
                          <w:p w14:paraId="51E0F715" w14:textId="77777777" w:rsidR="00424348" w:rsidRDefault="00797E10">
                            <w:pPr>
                              <w:rPr>
                                <w:rFonts w:ascii="Arial" w:hAnsi="Arial" w:cs="Arial"/>
                                <w:color w:val="3366FF"/>
                                <w:sz w:val="14"/>
                                <w:szCs w:val="14"/>
                              </w:rPr>
                            </w:pPr>
                            <w:r>
                              <w:rPr>
                                <w:rFonts w:ascii="Arial" w:hAnsi="Arial" w:cs="Arial"/>
                                <w:color w:val="3366FF"/>
                              </w:rPr>
                              <w:tab/>
                            </w:r>
                            <w:r>
                              <w:rPr>
                                <w:rFonts w:ascii="Arial" w:hAnsi="Arial" w:cs="Arial"/>
                                <w:color w:val="3366FF"/>
                              </w:rPr>
                              <w:tab/>
                            </w:r>
                            <w:r>
                              <w:rPr>
                                <w:rFonts w:ascii="Arial" w:hAnsi="Arial" w:cs="Arial"/>
                                <w:color w:val="3366FF"/>
                              </w:rPr>
                              <w:tab/>
                            </w:r>
                            <w:r>
                              <w:rPr>
                                <w:rFonts w:ascii="Arial" w:hAnsi="Arial" w:cs="Arial"/>
                                <w:color w:val="3366FF"/>
                              </w:rPr>
                              <w:tab/>
                            </w:r>
                            <w:r>
                              <w:rPr>
                                <w:rFonts w:ascii="Arial" w:hAnsi="Arial" w:cs="Arial"/>
                                <w:color w:val="3366FF"/>
                              </w:rPr>
                              <w:tab/>
                            </w:r>
                            <w:r>
                              <w:rPr>
                                <w:rFonts w:ascii="Arial" w:hAnsi="Arial" w:cs="Arial"/>
                                <w:color w:val="3366FF"/>
                              </w:rPr>
                              <w:tab/>
                            </w:r>
                            <w:r>
                              <w:rPr>
                                <w:rFonts w:ascii="Arial" w:hAnsi="Arial" w:cs="Arial"/>
                                <w:color w:val="3366FF"/>
                              </w:rPr>
                              <w:tab/>
                            </w:r>
                            <w:r>
                              <w:rPr>
                                <w:rFonts w:ascii="Arial" w:hAnsi="Arial" w:cs="Arial"/>
                                <w:color w:val="3366FF"/>
                              </w:rPr>
                              <w:tab/>
                              <w:t xml:space="preserve">            </w:t>
                            </w:r>
                            <w:r>
                              <w:rPr>
                                <w:rFonts w:ascii="Arial" w:hAnsi="Arial" w:cs="Arial"/>
                                <w:color w:val="3366FF"/>
                                <w:sz w:val="14"/>
                                <w:szCs w:val="14"/>
                              </w:rPr>
                              <w:t>Šmerļa iela 1, Rīga, LV-1006, VRN 40008116388</w:t>
                            </w:r>
                          </w:p>
                          <w:p w14:paraId="3E73B61F" w14:textId="77777777" w:rsidR="00424348" w:rsidRDefault="00797E10">
                            <w:pPr>
                              <w:rPr>
                                <w:rFonts w:ascii="Arial" w:hAnsi="Arial" w:cs="Arial"/>
                                <w:color w:val="3366FF"/>
                                <w:sz w:val="14"/>
                                <w:szCs w:val="14"/>
                              </w:rPr>
                            </w:pPr>
                            <w:r>
                              <w:rPr>
                                <w:rFonts w:ascii="Arial" w:hAnsi="Arial" w:cs="Arial"/>
                                <w:color w:val="3366FF"/>
                                <w:sz w:val="14"/>
                                <w:szCs w:val="14"/>
                              </w:rPr>
                              <w:tab/>
                            </w:r>
                            <w:r>
                              <w:rPr>
                                <w:rFonts w:ascii="Arial" w:hAnsi="Arial" w:cs="Arial"/>
                                <w:color w:val="3366FF"/>
                                <w:sz w:val="14"/>
                                <w:szCs w:val="14"/>
                              </w:rPr>
                              <w:tab/>
                            </w:r>
                            <w:r>
                              <w:rPr>
                                <w:rFonts w:ascii="Arial" w:hAnsi="Arial" w:cs="Arial"/>
                                <w:color w:val="3366FF"/>
                                <w:sz w:val="14"/>
                                <w:szCs w:val="14"/>
                              </w:rPr>
                              <w:tab/>
                            </w:r>
                            <w:r>
                              <w:rPr>
                                <w:rFonts w:ascii="Arial" w:hAnsi="Arial" w:cs="Arial"/>
                                <w:color w:val="3366FF"/>
                                <w:sz w:val="14"/>
                                <w:szCs w:val="14"/>
                              </w:rPr>
                              <w:tab/>
                              <w:t xml:space="preserve">                                                                                      SEB banka UNLALV2X, LV89 UNLA 0001 0007 0009 1 </w:t>
                            </w:r>
                          </w:p>
                          <w:p w14:paraId="781EA6C3" w14:textId="77777777" w:rsidR="00424348" w:rsidRDefault="00797E10">
                            <w:pPr>
                              <w:jc w:val="right"/>
                              <w:rPr>
                                <w:rFonts w:ascii="Arial" w:hAnsi="Arial" w:cs="Arial"/>
                                <w:color w:val="3366FF"/>
                                <w:sz w:val="14"/>
                                <w:szCs w:val="14"/>
                              </w:rPr>
                            </w:pPr>
                            <w:r>
                              <w:rPr>
                                <w:rFonts w:ascii="Arial" w:hAnsi="Arial" w:cs="Arial"/>
                                <w:bCs/>
                                <w:color w:val="3366FF"/>
                                <w:sz w:val="14"/>
                                <w:szCs w:val="14"/>
                              </w:rPr>
                              <w:t>Tālrunis: 67729300,</w:t>
                            </w:r>
                            <w:r>
                              <w:rPr>
                                <w:rFonts w:ascii="Arial" w:hAnsi="Arial" w:cs="Arial"/>
                                <w:color w:val="3366FF"/>
                                <w:sz w:val="14"/>
                                <w:szCs w:val="14"/>
                              </w:rPr>
                              <w:t xml:space="preserve"> 67553127</w:t>
                            </w:r>
                          </w:p>
                          <w:p w14:paraId="4AF08F6F" w14:textId="77777777" w:rsidR="00424348" w:rsidRDefault="008D0BE5">
                            <w:pPr>
                              <w:jc w:val="right"/>
                              <w:rPr>
                                <w:rFonts w:ascii="Arial" w:hAnsi="Arial" w:cs="Arial"/>
                                <w:color w:val="3366FF"/>
                                <w:sz w:val="14"/>
                                <w:szCs w:val="14"/>
                              </w:rPr>
                            </w:pPr>
                            <w:hyperlink r:id="rId8" w:history="1">
                              <w:r w:rsidR="00797E10">
                                <w:rPr>
                                  <w:rStyle w:val="Hyperlink"/>
                                  <w:rFonts w:ascii="Arial" w:hAnsi="Arial" w:cs="Arial"/>
                                  <w:color w:val="3366FF"/>
                                  <w:sz w:val="14"/>
                                  <w:szCs w:val="14"/>
                                </w:rPr>
                                <w:t>www.bleea.lv</w:t>
                              </w:r>
                            </w:hyperlink>
                            <w:r w:rsidR="00797E10">
                              <w:rPr>
                                <w:rFonts w:ascii="Arial" w:hAnsi="Arial" w:cs="Arial"/>
                                <w:color w:val="3366FF"/>
                                <w:sz w:val="14"/>
                                <w:szCs w:val="14"/>
                              </w:rPr>
                              <w:t xml:space="preserve">; </w:t>
                            </w:r>
                            <w:r w:rsidR="00797E10">
                              <w:rPr>
                                <w:rFonts w:ascii="Arial" w:hAnsi="Arial" w:cs="Arial"/>
                                <w:bCs/>
                                <w:color w:val="3366FF"/>
                                <w:sz w:val="14"/>
                                <w:szCs w:val="14"/>
                              </w:rPr>
                              <w:t>E-pasts:</w:t>
                            </w:r>
                            <w:r w:rsidR="00797E10">
                              <w:rPr>
                                <w:rFonts w:ascii="Arial" w:hAnsi="Arial" w:cs="Arial"/>
                                <w:color w:val="3366FF"/>
                                <w:sz w:val="14"/>
                                <w:szCs w:val="14"/>
                              </w:rPr>
                              <w:t xml:space="preserve"> </w:t>
                            </w:r>
                            <w:hyperlink r:id="rId9" w:history="1">
                              <w:r w:rsidR="00797E10">
                                <w:rPr>
                                  <w:rStyle w:val="Hyperlink"/>
                                  <w:rFonts w:ascii="Arial" w:hAnsi="Arial" w:cs="Arial"/>
                                  <w:color w:val="3366FF"/>
                                  <w:sz w:val="14"/>
                                  <w:szCs w:val="14"/>
                                </w:rPr>
                                <w:t>info@bleea.lv</w:t>
                              </w:r>
                            </w:hyperlink>
                            <w:r w:rsidR="00797E10">
                              <w:rPr>
                                <w:rFonts w:ascii="Arial" w:hAnsi="Arial" w:cs="Arial"/>
                                <w:color w:val="3366FF"/>
                                <w:sz w:val="14"/>
                                <w:szCs w:val="14"/>
                              </w:rPr>
                              <w:t xml:space="preserve"> </w:t>
                            </w:r>
                          </w:p>
                          <w:p w14:paraId="09BB7443" w14:textId="77777777" w:rsidR="00424348" w:rsidRDefault="00424348">
                            <w:pPr>
                              <w:rPr>
                                <w:rFonts w:ascii="Arial" w:hAnsi="Arial" w:cs="Arial"/>
                                <w:color w:val="3366FF"/>
                                <w:sz w:val="14"/>
                                <w:szCs w:val="14"/>
                              </w:rPr>
                            </w:pPr>
                          </w:p>
                          <w:p w14:paraId="7767E722" w14:textId="77777777" w:rsidR="00424348" w:rsidRDefault="00424348"/>
                        </w:txbxContent>
                      </wps:txbx>
                      <wps:bodyPr spcFirstLastPara="1" vertOverflow="clip" horzOverflow="clip" lIns="91440" tIns="45720" rIns="91440" bIns="45720" upright="1">
                        <a:prstTxWarp prst="textNoShape">
                          <a:avLst/>
                        </a:prstTxWarp>
                        <a:noAutofit/>
                      </wps:bodyPr>
                    </wps:wsp>
                  </a:graphicData>
                </a:graphic>
              </wp:anchor>
            </w:drawing>
          </mc:Choice>
          <mc:Fallback xmlns:w16sdtdh="http://schemas.microsoft.com/office/word/2020/wordml/sdtdatahash">
            <w:pict>
              <v:rect w14:anchorId="0A313CC4" id="Text Box 7" o:spid="_x0000_s1026" style="position:absolute;margin-left:-14.75pt;margin-top:0;width:498pt;height:102.1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" o:allowincell="f" stroked="f">
                <v:textbox>
                  <w:txbxContent>
                    <w:p w14:paraId="651781F1" w14:textId="77777777" w:rsidR="00424348" w:rsidRDefault="00797E10">
                      <w:pPr>
                        <w:jc w:val="center"/>
                        <w:rPr>
                          <w:rFonts w:ascii="Arial" w:hAnsi="Arial" w:cs="Arial"/>
                          <w:color w:val="3366FF"/>
                          <w:sz w:val="16"/>
                          <w:szCs w:val="16"/>
                        </w:rPr>
                      </w:pPr>
                      <w:r>
                        <w:rPr>
                          <w:noProof/>
                        </w:rPr>
                        <w:drawing>
                          <wp:inline distT="0" distB="0" distL="0" distR="0" wp14:anchorId="29100AF3" wp14:editId="6780E66A">
                            <wp:extent cx="838200" cy="50482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4_qBs+YB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AAAAAHoAAAAAAAAAAAAAAAAAAAAAAAAAAAAAAAAAAAAAAAAAAAAAAoBQAAGwMAAAAAAAAAAAAAAAAAACgAAAAIAAAAAQAAAAEAAAA="/>
                                        </a:ext>
                                      </a:extLst>
                                    </pic:cNvPicPr>
                                  </pic:nvPicPr>
                                  <pic:blipFill>
                                    <a:blip r:embed="rId10"/>
                                    <a:stretch>
                                      <a:fillRect/>
                                    </a:stretch>
                                  </pic:blipFill>
                                  <pic:spPr>
                                    <a:xfrm>
                                      <a:off x="0" y="0"/>
                                      <a:ext cx="838200" cy="504825"/>
                                    </a:xfrm>
                                    <a:prstGeom prst="rect">
                                      <a:avLst/>
                                    </a:prstGeom>
                                    <a:noFill/>
                                    <a:ln w="12700">
                                      <a:noFill/>
                                    </a:ln>
                                  </pic:spPr>
                                </pic:pic>
                              </a:graphicData>
                            </a:graphic>
                          </wp:inline>
                        </w:drawing>
                      </w:r>
                      <w:r>
                        <w:rPr>
                          <w:sz w:val="16"/>
                          <w:szCs w:val="16"/>
                        </w:rPr>
                        <w:tab/>
                      </w:r>
                      <w:r>
                        <w:rPr>
                          <w:sz w:val="16"/>
                          <w:szCs w:val="16"/>
                        </w:rPr>
                        <w:tab/>
                        <w:t xml:space="preserve">         </w:t>
                      </w:r>
                      <w:r>
                        <w:rPr>
                          <w:rFonts w:ascii="Arial" w:hAnsi="Arial" w:cs="Arial"/>
                          <w:b/>
                          <w:color w:val="3366FF"/>
                          <w:sz w:val="20"/>
                          <w:szCs w:val="20"/>
                        </w:rPr>
                        <w:t>LATVIJAS ELEKTROENERĢĒTIĶU UN ENERGOBŪVNIEKU ASOCIĀCIJA</w:t>
                      </w:r>
                      <w:r>
                        <w:rPr>
                          <w:rFonts w:ascii="Arial" w:hAnsi="Arial" w:cs="Arial"/>
                          <w:color w:val="3366FF"/>
                          <w:sz w:val="16"/>
                          <w:szCs w:val="16"/>
                        </w:rPr>
                        <w:tab/>
                      </w:r>
                      <w:r>
                        <w:rPr>
                          <w:rFonts w:ascii="Arial" w:hAnsi="Arial" w:cs="Arial"/>
                          <w:color w:val="FFFFFF"/>
                          <w:sz w:val="16"/>
                          <w:szCs w:val="16"/>
                          <w:shd w:val="clear" w:color="auto" w:fill="FFFFFF"/>
                        </w:rPr>
                        <w:t>_________________</w:t>
                      </w:r>
                      <w:r>
                        <w:rPr>
                          <w:rFonts w:ascii="Arial" w:hAnsi="Arial" w:cs="Arial"/>
                          <w:b/>
                          <w:color w:val="FFFFFF"/>
                          <w:sz w:val="16"/>
                          <w:szCs w:val="16"/>
                          <w:shd w:val="clear" w:color="auto" w:fill="FFFFFF"/>
                        </w:rPr>
                        <w:t>__</w:t>
                      </w:r>
                      <w:r>
                        <w:rPr>
                          <w:rFonts w:ascii="Arial" w:hAnsi="Arial" w:cs="Arial"/>
                          <w:b/>
                          <w:color w:val="3366FF"/>
                          <w:sz w:val="16"/>
                          <w:szCs w:val="16"/>
                        </w:rPr>
                        <w:t>_________________________________________________________________________________</w:t>
                      </w:r>
                    </w:p>
                    <w:p w14:paraId="51E0F715" w14:textId="77777777" w:rsidR="00424348" w:rsidRDefault="00797E10">
                      <w:pPr>
                        <w:rPr>
                          <w:rFonts w:ascii="Arial" w:hAnsi="Arial" w:cs="Arial"/>
                          <w:color w:val="3366FF"/>
                          <w:sz w:val="14"/>
                          <w:szCs w:val="14"/>
                        </w:rPr>
                      </w:pPr>
                      <w:r>
                        <w:rPr>
                          <w:rFonts w:ascii="Arial" w:hAnsi="Arial" w:cs="Arial"/>
                          <w:color w:val="3366FF"/>
                        </w:rPr>
                        <w:tab/>
                      </w:r>
                      <w:r>
                        <w:rPr>
                          <w:rFonts w:ascii="Arial" w:hAnsi="Arial" w:cs="Arial"/>
                          <w:color w:val="3366FF"/>
                        </w:rPr>
                        <w:tab/>
                      </w:r>
                      <w:r>
                        <w:rPr>
                          <w:rFonts w:ascii="Arial" w:hAnsi="Arial" w:cs="Arial"/>
                          <w:color w:val="3366FF"/>
                        </w:rPr>
                        <w:tab/>
                      </w:r>
                      <w:r>
                        <w:rPr>
                          <w:rFonts w:ascii="Arial" w:hAnsi="Arial" w:cs="Arial"/>
                          <w:color w:val="3366FF"/>
                        </w:rPr>
                        <w:tab/>
                      </w:r>
                      <w:r>
                        <w:rPr>
                          <w:rFonts w:ascii="Arial" w:hAnsi="Arial" w:cs="Arial"/>
                          <w:color w:val="3366FF"/>
                        </w:rPr>
                        <w:tab/>
                      </w:r>
                      <w:r>
                        <w:rPr>
                          <w:rFonts w:ascii="Arial" w:hAnsi="Arial" w:cs="Arial"/>
                          <w:color w:val="3366FF"/>
                        </w:rPr>
                        <w:tab/>
                      </w:r>
                      <w:r>
                        <w:rPr>
                          <w:rFonts w:ascii="Arial" w:hAnsi="Arial" w:cs="Arial"/>
                          <w:color w:val="3366FF"/>
                        </w:rPr>
                        <w:tab/>
                      </w:r>
                      <w:r>
                        <w:rPr>
                          <w:rFonts w:ascii="Arial" w:hAnsi="Arial" w:cs="Arial"/>
                          <w:color w:val="3366FF"/>
                        </w:rPr>
                        <w:tab/>
                        <w:t xml:space="preserve">            </w:t>
                      </w:r>
                      <w:r>
                        <w:rPr>
                          <w:rFonts w:ascii="Arial" w:hAnsi="Arial" w:cs="Arial"/>
                          <w:color w:val="3366FF"/>
                          <w:sz w:val="14"/>
                          <w:szCs w:val="14"/>
                        </w:rPr>
                        <w:t>Šmerļa iela 1, Rīga, LV-1006, VRN 40008116388</w:t>
                      </w:r>
                    </w:p>
                    <w:p w14:paraId="3E73B61F" w14:textId="77777777" w:rsidR="00424348" w:rsidRDefault="00797E10">
                      <w:pPr>
                        <w:rPr>
                          <w:rFonts w:ascii="Arial" w:hAnsi="Arial" w:cs="Arial"/>
                          <w:color w:val="3366FF"/>
                          <w:sz w:val="14"/>
                          <w:szCs w:val="14"/>
                        </w:rPr>
                      </w:pPr>
                      <w:r>
                        <w:rPr>
                          <w:rFonts w:ascii="Arial" w:hAnsi="Arial" w:cs="Arial"/>
                          <w:color w:val="3366FF"/>
                          <w:sz w:val="14"/>
                          <w:szCs w:val="14"/>
                        </w:rPr>
                        <w:tab/>
                      </w:r>
                      <w:r>
                        <w:rPr>
                          <w:rFonts w:ascii="Arial" w:hAnsi="Arial" w:cs="Arial"/>
                          <w:color w:val="3366FF"/>
                          <w:sz w:val="14"/>
                          <w:szCs w:val="14"/>
                        </w:rPr>
                        <w:tab/>
                      </w:r>
                      <w:r>
                        <w:rPr>
                          <w:rFonts w:ascii="Arial" w:hAnsi="Arial" w:cs="Arial"/>
                          <w:color w:val="3366FF"/>
                          <w:sz w:val="14"/>
                          <w:szCs w:val="14"/>
                        </w:rPr>
                        <w:tab/>
                      </w:r>
                      <w:r>
                        <w:rPr>
                          <w:rFonts w:ascii="Arial" w:hAnsi="Arial" w:cs="Arial"/>
                          <w:color w:val="3366FF"/>
                          <w:sz w:val="14"/>
                          <w:szCs w:val="14"/>
                        </w:rPr>
                        <w:tab/>
                      </w:r>
                      <w:r>
                        <w:rPr>
                          <w:rFonts w:ascii="Arial" w:hAnsi="Arial" w:cs="Arial"/>
                          <w:color w:val="3366FF"/>
                          <w:sz w:val="14"/>
                          <w:szCs w:val="14"/>
                        </w:rPr>
                        <w:t xml:space="preserve">                                                                                      SEB banka UNLALV2X, LV89 UNLA 0001 0007 0009 1 </w:t>
                      </w:r>
                    </w:p>
                    <w:p w14:paraId="781EA6C3" w14:textId="77777777" w:rsidR="00424348" w:rsidRDefault="00797E10">
                      <w:pPr>
                        <w:jc w:val="right"/>
                        <w:rPr>
                          <w:rFonts w:ascii="Arial" w:hAnsi="Arial" w:cs="Arial"/>
                          <w:color w:val="3366FF"/>
                          <w:sz w:val="14"/>
                          <w:szCs w:val="14"/>
                        </w:rPr>
                      </w:pPr>
                      <w:r>
                        <w:rPr>
                          <w:rFonts w:ascii="Arial" w:hAnsi="Arial" w:cs="Arial"/>
                          <w:bCs/>
                          <w:color w:val="3366FF"/>
                          <w:sz w:val="14"/>
                          <w:szCs w:val="14"/>
                        </w:rPr>
                        <w:t>Tālrunis: 67729300,</w:t>
                      </w:r>
                      <w:r>
                        <w:rPr>
                          <w:rFonts w:ascii="Arial" w:hAnsi="Arial" w:cs="Arial"/>
                          <w:color w:val="3366FF"/>
                          <w:sz w:val="14"/>
                          <w:szCs w:val="14"/>
                        </w:rPr>
                        <w:t xml:space="preserve"> 67553127</w:t>
                      </w:r>
                    </w:p>
                    <w:p w14:paraId="4AF08F6F" w14:textId="77777777" w:rsidR="00424348" w:rsidRDefault="00797E10">
                      <w:pPr>
                        <w:jc w:val="right"/>
                        <w:rPr>
                          <w:rFonts w:ascii="Arial" w:hAnsi="Arial" w:cs="Arial"/>
                          <w:color w:val="3366FF"/>
                          <w:sz w:val="14"/>
                          <w:szCs w:val="14"/>
                        </w:rPr>
                      </w:pPr>
                      <w:hyperlink r:id="rId11" w:history="1">
                        <w:r>
                          <w:rPr>
                            <w:rStyle w:val="Hipersaite"/>
                            <w:rFonts w:ascii="Arial" w:hAnsi="Arial" w:cs="Arial"/>
                            <w:color w:val="3366FF"/>
                            <w:sz w:val="14"/>
                            <w:szCs w:val="14"/>
                          </w:rPr>
                          <w:t>www.bleea.lv</w:t>
                        </w:r>
                      </w:hyperlink>
                      <w:r>
                        <w:rPr>
                          <w:rFonts w:ascii="Arial" w:hAnsi="Arial" w:cs="Arial"/>
                          <w:color w:val="3366FF"/>
                          <w:sz w:val="14"/>
                          <w:szCs w:val="14"/>
                        </w:rPr>
                        <w:t xml:space="preserve">; </w:t>
                      </w:r>
                      <w:r>
                        <w:rPr>
                          <w:rFonts w:ascii="Arial" w:hAnsi="Arial" w:cs="Arial"/>
                          <w:bCs/>
                          <w:color w:val="3366FF"/>
                          <w:sz w:val="14"/>
                          <w:szCs w:val="14"/>
                        </w:rPr>
                        <w:t>E-pasts:</w:t>
                      </w:r>
                      <w:r>
                        <w:rPr>
                          <w:rFonts w:ascii="Arial" w:hAnsi="Arial" w:cs="Arial"/>
                          <w:color w:val="3366FF"/>
                          <w:sz w:val="14"/>
                          <w:szCs w:val="14"/>
                        </w:rPr>
                        <w:t xml:space="preserve"> </w:t>
                      </w:r>
                      <w:hyperlink r:id="rId12" w:history="1">
                        <w:r>
                          <w:rPr>
                            <w:rStyle w:val="Hipersaite"/>
                            <w:rFonts w:ascii="Arial" w:hAnsi="Arial" w:cs="Arial"/>
                            <w:color w:val="3366FF"/>
                            <w:sz w:val="14"/>
                            <w:szCs w:val="14"/>
                          </w:rPr>
                          <w:t>info@bleea.lv</w:t>
                        </w:r>
                      </w:hyperlink>
                      <w:r>
                        <w:rPr>
                          <w:rFonts w:ascii="Arial" w:hAnsi="Arial" w:cs="Arial"/>
                          <w:color w:val="3366FF"/>
                          <w:sz w:val="14"/>
                          <w:szCs w:val="14"/>
                        </w:rPr>
                        <w:t xml:space="preserve"> </w:t>
                      </w:r>
                    </w:p>
                    <w:p w14:paraId="09BB7443" w14:textId="77777777" w:rsidR="00424348" w:rsidRDefault="00424348">
                      <w:pPr>
                        <w:rPr>
                          <w:rFonts w:ascii="Arial" w:hAnsi="Arial" w:cs="Arial"/>
                          <w:color w:val="3366FF"/>
                          <w:sz w:val="14"/>
                          <w:szCs w:val="14"/>
                        </w:rPr>
                      </w:pPr>
                    </w:p>
                    <w:p w14:paraId="7767E722" w14:textId="77777777" w:rsidR="00424348" w:rsidRDefault="00424348"/>
                  </w:txbxContent>
                </v:textbox>
              </v:rect>
            </w:pict>
          </mc:Fallback>
        </mc:AlternateContent>
      </w:r>
    </w:p>
    <w:p w14:paraId="0DB36FB8" w14:textId="77777777" w:rsidR="00424348" w:rsidRDefault="00424348"/>
    <w:p w14:paraId="37D1ADED" w14:textId="77777777" w:rsidR="00424348" w:rsidRDefault="00424348"/>
    <w:p w14:paraId="020A2CE7" w14:textId="77777777" w:rsidR="00424348" w:rsidRDefault="00424348"/>
    <w:p w14:paraId="5B693830" w14:textId="77777777" w:rsidR="00424348" w:rsidRDefault="00424348"/>
    <w:p w14:paraId="6E9D71F6" w14:textId="77777777" w:rsidR="00424348" w:rsidRDefault="00424348"/>
    <w:p w14:paraId="2929EA1F" w14:textId="77777777" w:rsidR="00424348" w:rsidRDefault="00424348">
      <w:pPr>
        <w:jc w:val="right"/>
        <w:rPr>
          <w:b/>
          <w:bCs/>
        </w:rPr>
      </w:pPr>
    </w:p>
    <w:p w14:paraId="48077590" w14:textId="77777777" w:rsidR="00424348" w:rsidRDefault="00424348">
      <w:pPr>
        <w:jc w:val="right"/>
        <w:rPr>
          <w:b/>
          <w:bCs/>
          <w:sz w:val="28"/>
          <w:szCs w:val="28"/>
        </w:rPr>
      </w:pPr>
    </w:p>
    <w:p w14:paraId="6135E808" w14:textId="77777777" w:rsidR="00424348" w:rsidRDefault="00797E10">
      <w:pPr>
        <w:jc w:val="right"/>
        <w:rPr>
          <w:b/>
          <w:sz w:val="28"/>
          <w:szCs w:val="28"/>
        </w:rPr>
      </w:pPr>
      <w:r>
        <w:rPr>
          <w:b/>
          <w:sz w:val="28"/>
          <w:szCs w:val="28"/>
        </w:rPr>
        <w:t>Ekonomikas ministrijas</w:t>
      </w:r>
    </w:p>
    <w:p w14:paraId="6C136920" w14:textId="77777777" w:rsidR="00424348" w:rsidRDefault="00797E10">
      <w:pPr>
        <w:jc w:val="right"/>
        <w:rPr>
          <w:b/>
          <w:sz w:val="28"/>
          <w:szCs w:val="28"/>
        </w:rPr>
      </w:pPr>
      <w:r>
        <w:rPr>
          <w:b/>
          <w:sz w:val="28"/>
          <w:szCs w:val="28"/>
        </w:rPr>
        <w:t>Enerģijas tirgus un infrastruktūras departamentam</w:t>
      </w:r>
    </w:p>
    <w:p w14:paraId="3FB4D1E2" w14:textId="77777777" w:rsidR="00424348" w:rsidRDefault="00797E10">
      <w:pPr>
        <w:jc w:val="right"/>
        <w:rPr>
          <w:sz w:val="28"/>
          <w:szCs w:val="28"/>
        </w:rPr>
      </w:pPr>
      <w:r>
        <w:rPr>
          <w:sz w:val="28"/>
          <w:szCs w:val="28"/>
        </w:rPr>
        <w:t xml:space="preserve">Brīvības ielā 55, </w:t>
      </w:r>
    </w:p>
    <w:p w14:paraId="16E49C40" w14:textId="77777777" w:rsidR="00424348" w:rsidRDefault="00797E10">
      <w:pPr>
        <w:jc w:val="right"/>
        <w:rPr>
          <w:sz w:val="28"/>
          <w:szCs w:val="28"/>
        </w:rPr>
      </w:pPr>
      <w:r>
        <w:rPr>
          <w:sz w:val="28"/>
          <w:szCs w:val="28"/>
        </w:rPr>
        <w:t>Rīga, LV-1519</w:t>
      </w:r>
    </w:p>
    <w:p w14:paraId="5B4B1239" w14:textId="77777777" w:rsidR="00424348" w:rsidRDefault="00797E10">
      <w:pPr>
        <w:jc w:val="right"/>
        <w:rPr>
          <w:sz w:val="28"/>
          <w:szCs w:val="28"/>
        </w:rPr>
      </w:pPr>
      <w:r>
        <w:rPr>
          <w:sz w:val="28"/>
          <w:szCs w:val="28"/>
        </w:rPr>
        <w:t xml:space="preserve">pasts@em.gov.lv  </w:t>
      </w:r>
    </w:p>
    <w:p w14:paraId="298F64CA" w14:textId="77777777" w:rsidR="00424348" w:rsidRDefault="00424348">
      <w:pPr>
        <w:rPr>
          <w:b/>
          <w:sz w:val="28"/>
          <w:szCs w:val="28"/>
        </w:rPr>
      </w:pPr>
    </w:p>
    <w:p w14:paraId="7D1A57A5" w14:textId="75248969" w:rsidR="00424348" w:rsidRDefault="00797E10">
      <w:pPr>
        <w:rPr>
          <w:b/>
          <w:sz w:val="28"/>
          <w:szCs w:val="28"/>
        </w:rPr>
      </w:pPr>
      <w:r>
        <w:rPr>
          <w:b/>
          <w:sz w:val="28"/>
          <w:szCs w:val="28"/>
        </w:rPr>
        <w:t>Nr. 01-08/</w:t>
      </w:r>
      <w:r w:rsidR="00C9379C">
        <w:rPr>
          <w:b/>
          <w:sz w:val="28"/>
          <w:szCs w:val="28"/>
        </w:rPr>
        <w:t>43</w:t>
      </w:r>
    </w:p>
    <w:p w14:paraId="25F8E204" w14:textId="77777777" w:rsidR="00424348" w:rsidRDefault="00797E10">
      <w:pPr>
        <w:rPr>
          <w:b/>
          <w:bCs/>
          <w:sz w:val="28"/>
          <w:szCs w:val="28"/>
        </w:rPr>
      </w:pPr>
      <w:r>
        <w:rPr>
          <w:b/>
          <w:bCs/>
          <w:sz w:val="28"/>
          <w:szCs w:val="28"/>
        </w:rPr>
        <w:t>Par  Enerģētikas likuma grozījumu projektu</w:t>
      </w:r>
    </w:p>
    <w:p w14:paraId="302C32DF" w14:textId="77777777" w:rsidR="002A5511" w:rsidRPr="002A5511" w:rsidRDefault="002A5511" w:rsidP="002A5511">
      <w:pPr>
        <w:jc w:val="both"/>
        <w:rPr>
          <w:sz w:val="28"/>
          <w:szCs w:val="28"/>
        </w:rPr>
      </w:pPr>
    </w:p>
    <w:p w14:paraId="1D2A0D4F" w14:textId="77777777" w:rsidR="002A5511" w:rsidRPr="002A5511" w:rsidRDefault="002A5511" w:rsidP="002A5511">
      <w:pPr>
        <w:ind w:firstLine="720"/>
        <w:jc w:val="both"/>
        <w:rPr>
          <w:sz w:val="28"/>
          <w:szCs w:val="28"/>
        </w:rPr>
      </w:pPr>
      <w:r w:rsidRPr="002A5511">
        <w:rPr>
          <w:sz w:val="28"/>
          <w:szCs w:val="28"/>
        </w:rPr>
        <w:t>Atsaucoties uz Ekonomikas ministrijas (turpmāk – EM) izsludināto konsultāciju procesu par likumprojektu “Grozījumi Enerģētikas likumā” (turpmāk – likumprojekts), biedrība “Latvijas Elektroenerģētiķu un Energobūvnieku asociācija” (turpmāk – LEEA) savas kompetences ietvaros ir iepazinusies un kopumā augstu vērtē un konceptuāli atbalsta lielāko daļu no priekšlikumiem, kā arī iesniedz savus, mūsu juridisko biedru un citu, iesaistītu nozaru atbalstītos, priekšlikumus nepieciešamiem likumprojekta precizējumiem un papildinājumiem.</w:t>
      </w:r>
    </w:p>
    <w:p w14:paraId="714D4D96" w14:textId="77777777" w:rsidR="002A5511" w:rsidRPr="002A5511" w:rsidRDefault="002A5511" w:rsidP="002A5511">
      <w:pPr>
        <w:ind w:firstLine="720"/>
        <w:jc w:val="both"/>
        <w:rPr>
          <w:b/>
          <w:bCs/>
          <w:sz w:val="28"/>
          <w:szCs w:val="28"/>
        </w:rPr>
      </w:pPr>
      <w:r w:rsidRPr="002A5511">
        <w:rPr>
          <w:b/>
          <w:bCs/>
          <w:sz w:val="28"/>
          <w:szCs w:val="28"/>
        </w:rPr>
        <w:t>1.</w:t>
      </w:r>
      <w:r w:rsidRPr="002A5511">
        <w:rPr>
          <w:b/>
          <w:bCs/>
          <w:sz w:val="28"/>
          <w:szCs w:val="28"/>
        </w:rPr>
        <w:tab/>
        <w:t xml:space="preserve">aicinām no likumprojekta izslēgt vai arī apsvērt iespēju būtiski pilnveidot un precizēt likumprojekta 14.panta redakciju, kura paredz veikt grozījumus Enerģētikas likuma (turpmāk EL) 49.panta 1.daļā. </w:t>
      </w:r>
    </w:p>
    <w:p w14:paraId="3DA6750B" w14:textId="77777777" w:rsidR="002A5511" w:rsidRPr="002A5511" w:rsidRDefault="002A5511" w:rsidP="002A5511">
      <w:pPr>
        <w:ind w:firstLine="720"/>
        <w:jc w:val="both"/>
        <w:rPr>
          <w:sz w:val="28"/>
          <w:szCs w:val="28"/>
        </w:rPr>
      </w:pPr>
      <w:r w:rsidRPr="002A5511">
        <w:rPr>
          <w:sz w:val="28"/>
          <w:szCs w:val="28"/>
        </w:rPr>
        <w:t>Uzskatām, ka minētā likumprojekta norma potenciāli var nonākt pretrunā ar Konkurences likuma 14.1.pantu jo nepārprotami uzliek papildus regulatīvo un administratīvo slogu noteiktām siltuma ražotāju kategorijām, šādi radot potenciālu risku brīvas konkurences ierobežojumiem. Vēršam uzmanību ka, atbilstoši informācijai, kas ir pieejama par faktisko Rīgas pilsētas siltumapgādes tirgus darbību, pat šobrīd ir saredzamas tirgus darbības nepilnības, kas radījušas ierobežojumus tirgus lielākajam dalībniekam AS “Latvenergo”, veicinot tā TEC iekārtu efektivitātes un lomas elektroenerģijas sistēmas drošumā mazināšanos. Rezultātā atsevišķās situācijās tiek veicināts izmaksu kāpums patērētajiem. Turklāt efektivitātes mazināšana ir pretrunā ar Enerģētikas likuma 3.panta 6.punktu, kas enerģētikas nozares regulējumam uzliek mērķi veicināt arī sekundāro energoresursu, TEC kondensācijas ciklā saražotā siltuma, izmantošanu.</w:t>
      </w:r>
    </w:p>
    <w:p w14:paraId="2DB41F89" w14:textId="77777777" w:rsidR="002A5511" w:rsidRPr="002A5511" w:rsidRDefault="002A5511" w:rsidP="002A5511">
      <w:pPr>
        <w:ind w:firstLine="720"/>
        <w:jc w:val="both"/>
        <w:rPr>
          <w:sz w:val="28"/>
          <w:szCs w:val="28"/>
        </w:rPr>
      </w:pPr>
      <w:r w:rsidRPr="002A5511">
        <w:rPr>
          <w:sz w:val="28"/>
          <w:szCs w:val="28"/>
        </w:rPr>
        <w:t>2.</w:t>
      </w:r>
      <w:r w:rsidRPr="002A5511">
        <w:rPr>
          <w:sz w:val="28"/>
          <w:szCs w:val="28"/>
        </w:rPr>
        <w:tab/>
        <w:t xml:space="preserve">ierosinām likumprojektu papildināt ar 591. pantu šādā redakcijā: </w:t>
      </w:r>
    </w:p>
    <w:p w14:paraId="722A9B9D" w14:textId="77777777" w:rsidR="002A5511" w:rsidRPr="002A5511" w:rsidRDefault="002A5511" w:rsidP="002A5511">
      <w:pPr>
        <w:ind w:firstLine="720"/>
        <w:jc w:val="both"/>
        <w:rPr>
          <w:b/>
          <w:bCs/>
          <w:sz w:val="28"/>
          <w:szCs w:val="28"/>
        </w:rPr>
      </w:pPr>
      <w:r w:rsidRPr="002A5511">
        <w:rPr>
          <w:b/>
          <w:bCs/>
          <w:sz w:val="28"/>
          <w:szCs w:val="28"/>
        </w:rPr>
        <w:t>“Energoapgādes komersanti savu normatīvajos aktos noteikto funkciju izpildes ietvaros plāno, savstarpēji koordinē un īsteno darbības, lai pēc iespējas  novērstu enerģētiskās krīzes iestāšanos. Energoapgādes komersantu rīkojumi, kas nepieciešami šo darbību izpildei, sistēmas dalībniekiem ir saistoši.”</w:t>
      </w:r>
    </w:p>
    <w:p w14:paraId="67A0D5DC" w14:textId="77777777" w:rsidR="002A5511" w:rsidRPr="002A5511" w:rsidRDefault="002A5511" w:rsidP="002A5511">
      <w:pPr>
        <w:ind w:firstLine="720"/>
        <w:jc w:val="both"/>
        <w:rPr>
          <w:sz w:val="28"/>
          <w:szCs w:val="28"/>
        </w:rPr>
      </w:pPr>
      <w:r w:rsidRPr="002A5511">
        <w:rPr>
          <w:sz w:val="28"/>
          <w:szCs w:val="28"/>
        </w:rPr>
        <w:lastRenderedPageBreak/>
        <w:t>Priekšlikums iesniegs lai noteiktu skaidru sapratni par darbībām, kas likumiski atzītu sistēmas operatoru tiesības nevilcinoties operatīvi veikt preventīvas darbības, iespējamas valsts vai teritoriālas enerģētiskās krīzes novēršanai vai ierobežošanai. Rezultātā tiktu būtiski ierobežoti iespējamie, krīzes radītie, zaudējumi galalietotājiem un valstij kopumā. Turklāt piedāvātais papildinājums sniegtu skaidru norādi attiecīgo MK noteikumu izmaiņām atbilstoši Sabiedrisko pakalpojumu regulēšanas komisijas apstiprinātam elektroenerģijas sistēmas aizsardzības plānam, kas izstrādāts atbilstoši Komisijas 2017. gada 24. novembra Regulas 2017/2196, ar ko izveido tīkla kodeksu par ārkārtas un atjaunošanas stāvokli elektrosistēmā, nosacījumiem. Vienlaikus jāmin, ka EK regulējuma pilnvērtīgu piemērošanu ierobežo apstāklis, ka līdzvērtīgas pilnvaras preventīvo darbību veikšanai normatīvais regulējums neparedz sadales sistēmas operatoriem. Tas rada valstī rada apstākļus iespējamo enerģētiskās krīzes situāciju izraisīšanai un padziļināšanai. LEEA skatījumā, likumā nepieciešams piedāvātais papildinājums, kas nepārprotami atļauj preventīvo darbību veikšanu, šādi samazinot ārkārtas situācijās potenciāli skarto elektroenerģijas lietotāju skaitu, to zaudējumus, kā arī veicinot energosistēmas darbības stabilizāciju.</w:t>
      </w:r>
    </w:p>
    <w:p w14:paraId="203954A1" w14:textId="77777777" w:rsidR="002A5511" w:rsidRPr="002A5511" w:rsidRDefault="002A5511" w:rsidP="002A5511">
      <w:pPr>
        <w:ind w:firstLine="720"/>
        <w:jc w:val="both"/>
        <w:rPr>
          <w:sz w:val="28"/>
          <w:szCs w:val="28"/>
        </w:rPr>
      </w:pPr>
      <w:r w:rsidRPr="002A5511">
        <w:rPr>
          <w:sz w:val="28"/>
          <w:szCs w:val="28"/>
        </w:rPr>
        <w:t>3.</w:t>
      </w:r>
      <w:r w:rsidRPr="002A5511">
        <w:rPr>
          <w:sz w:val="28"/>
          <w:szCs w:val="28"/>
        </w:rPr>
        <w:tab/>
        <w:t xml:space="preserve">Ierosinām likumprojektā ieviest sekojošu grozījumu EL 71.panta otrajai daļai: </w:t>
      </w:r>
    </w:p>
    <w:p w14:paraId="52707A0E" w14:textId="77777777" w:rsidR="002A5511" w:rsidRPr="002A5511" w:rsidRDefault="002A5511" w:rsidP="002A5511">
      <w:pPr>
        <w:ind w:firstLine="720"/>
        <w:jc w:val="both"/>
        <w:rPr>
          <w:b/>
          <w:bCs/>
          <w:sz w:val="28"/>
          <w:szCs w:val="28"/>
        </w:rPr>
      </w:pPr>
      <w:r w:rsidRPr="002A5511">
        <w:rPr>
          <w:b/>
          <w:bCs/>
          <w:sz w:val="28"/>
          <w:szCs w:val="28"/>
        </w:rPr>
        <w:t>“(2) Energoapgādes komersanti nav atbildīgi par zaudējumiem, kas nodarīti sistēmas dalībniekiem izsludinātas enerģētiskās krīzes laikā vai veicot šā likuma 591. pantā minētās darbības enerģētiskās krīzes novēršanai.”</w:t>
      </w:r>
    </w:p>
    <w:p w14:paraId="4007558F" w14:textId="77777777" w:rsidR="002A5511" w:rsidRPr="002A5511" w:rsidRDefault="002A5511" w:rsidP="002A5511">
      <w:pPr>
        <w:ind w:firstLine="720"/>
        <w:jc w:val="both"/>
        <w:rPr>
          <w:sz w:val="28"/>
          <w:szCs w:val="28"/>
        </w:rPr>
      </w:pPr>
      <w:r w:rsidRPr="002A5511">
        <w:rPr>
          <w:sz w:val="28"/>
          <w:szCs w:val="28"/>
        </w:rPr>
        <w:t>LEEA vērtējumā, šāds ierosinājums ir nepieciešams, lai papildinātu esošo regulējumu, kurš energoapgādes komersantus atbrīvo no atbildības par zaudējumiem krīzes apstākļos, jo saglabājoties atbildībai par zaudējumiem, kas ir saistīti ar pasākumu īstenošanu enerģētiskās krīzes novēršanai, tiek nepamatoti ierobežotas sistēmas operatoru faktiskās iespējas veikt preventīvās darbības, kas ir saistītas ar atsevišķu lietotāju pieprasītās jaudas ierobežošanu vai apgādes pārtraukšanu. Pieņemot mūsu priekšlikumu, kurš starp citu ir saskaņots ar LEEA biedriem, lietotājiem rastos ievērojami mazāki zaudējumi nekā ja ārkārtas procesi energosistēmā attīstītos nekontrolēti, novedot pie dziļas enerģētiskās krīzes.</w:t>
      </w:r>
    </w:p>
    <w:p w14:paraId="746A2D0E" w14:textId="77777777" w:rsidR="002A5511" w:rsidRPr="002A5511" w:rsidRDefault="002A5511" w:rsidP="002A5511">
      <w:pPr>
        <w:ind w:firstLine="720"/>
        <w:jc w:val="both"/>
        <w:rPr>
          <w:sz w:val="28"/>
          <w:szCs w:val="28"/>
        </w:rPr>
      </w:pPr>
      <w:r w:rsidRPr="002A5511">
        <w:rPr>
          <w:sz w:val="28"/>
          <w:szCs w:val="28"/>
        </w:rPr>
        <w:t xml:space="preserve">Papildus LEEA vēlas pievērst uzmanību, ka minētie grozījumi ir īpaši nozīmīgi saistībā ar 2025.gadā paredzēto Latvijas energosistēmas darbības režīma maiņu, kas paredz Baltijas elektroenerģijas sistēmu sinhronizāciju ar Kontinentālās Eiropas elektroenerģijas sistēmu. Saistībā ar paredzamo darbības režīma maiņu, būtiski mainīsies gan pārvades sistēmas operatoru faktiskā atbildība par sistēmas darbības stabilitātes nodrošināšanu, gan arī operatoru rīcībā esošo tehnisko risinājumu loks, tāpēc atbilstošas izmaiņas ir veicamas nacionālo normatīvo aktu regulējumā. </w:t>
      </w:r>
    </w:p>
    <w:p w14:paraId="3761B9E5" w14:textId="77777777" w:rsidR="00424348" w:rsidRDefault="00424348">
      <w:pPr>
        <w:ind w:firstLine="720"/>
        <w:jc w:val="both"/>
        <w:rPr>
          <w:sz w:val="28"/>
          <w:szCs w:val="28"/>
        </w:rPr>
      </w:pPr>
    </w:p>
    <w:p w14:paraId="3B255624" w14:textId="77777777" w:rsidR="00424348" w:rsidRDefault="00424348">
      <w:pPr>
        <w:ind w:firstLine="720"/>
        <w:jc w:val="both"/>
        <w:rPr>
          <w:sz w:val="32"/>
          <w:szCs w:val="32"/>
        </w:rPr>
      </w:pPr>
    </w:p>
    <w:p w14:paraId="226675A7" w14:textId="77777777" w:rsidR="00424348" w:rsidRDefault="00424348">
      <w:pPr>
        <w:ind w:firstLine="720"/>
        <w:jc w:val="both"/>
        <w:rPr>
          <w:sz w:val="32"/>
          <w:szCs w:val="32"/>
        </w:rPr>
      </w:pPr>
    </w:p>
    <w:p w14:paraId="4FBC4196" w14:textId="77777777" w:rsidR="00424348" w:rsidRDefault="00797E10">
      <w:pPr>
        <w:ind w:firstLine="720"/>
        <w:rPr>
          <w:sz w:val="28"/>
          <w:szCs w:val="28"/>
        </w:rPr>
      </w:pPr>
      <w:r>
        <w:rPr>
          <w:sz w:val="28"/>
          <w:szCs w:val="28"/>
        </w:rPr>
        <w:t xml:space="preserve">Ar cieņu, </w:t>
      </w:r>
    </w:p>
    <w:p w14:paraId="4D8BE085" w14:textId="14DCF31A" w:rsidR="00424348" w:rsidRDefault="00797E10" w:rsidP="002A5511">
      <w:pPr>
        <w:ind w:firstLine="720"/>
        <w:rPr>
          <w:sz w:val="28"/>
          <w:szCs w:val="28"/>
        </w:rPr>
      </w:pPr>
      <w:r>
        <w:rPr>
          <w:sz w:val="28"/>
          <w:szCs w:val="28"/>
        </w:rPr>
        <w:t>LEEA izpilddirektors                                                        G.Valdmanis</w:t>
      </w:r>
    </w:p>
    <w:sectPr w:rsidR="00424348">
      <w:headerReference w:type="default" r:id="rId13"/>
      <w:footerReference w:type="default" r:id="rId14"/>
      <w:endnotePr>
        <w:numFmt w:val="decimal"/>
      </w:endnotePr>
      <w:pgSz w:w="11906" w:h="16838"/>
      <w:pgMar w:top="567" w:right="1134" w:bottom="567"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B7CF34" w14:textId="77777777" w:rsidR="008D0BE5" w:rsidRDefault="008D0BE5">
      <w:r>
        <w:separator/>
      </w:r>
    </w:p>
  </w:endnote>
  <w:endnote w:type="continuationSeparator" w:id="0">
    <w:p w14:paraId="3FA2935E" w14:textId="77777777" w:rsidR="008D0BE5" w:rsidRDefault="008D0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98F66" w14:textId="77777777" w:rsidR="00424348" w:rsidRDefault="00424348">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62D6A3" w14:textId="77777777" w:rsidR="008D0BE5" w:rsidRDefault="008D0BE5">
      <w:r>
        <w:separator/>
      </w:r>
    </w:p>
  </w:footnote>
  <w:footnote w:type="continuationSeparator" w:id="0">
    <w:p w14:paraId="3C87A724" w14:textId="77777777" w:rsidR="008D0BE5" w:rsidRDefault="008D0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C55D5" w14:textId="77777777" w:rsidR="00424348" w:rsidRDefault="004243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15C0E"/>
    <w:multiLevelType w:val="multilevel"/>
    <w:tmpl w:val="0F242378"/>
    <w:name w:val="ArticleSection"/>
    <w:lvl w:ilvl="0">
      <w:start w:val="1"/>
      <w:numFmt w:val="upperRoman"/>
      <w:pStyle w:val="Heading1"/>
      <w:lvlText w:val="Article %1."/>
      <w:lvlJc w:val="left"/>
      <w:pPr>
        <w:ind w:left="0" w:firstLine="0"/>
      </w:pPr>
    </w:lvl>
    <w:lvl w:ilvl="1">
      <w:start w:val="1"/>
      <w:numFmt w:val="decimal"/>
      <w:pStyle w:val="Heading2"/>
      <w:lvlText w:val="Section %1.%2"/>
      <w:lvlJc w:val="left"/>
      <w:pPr>
        <w:ind w:left="0" w:firstLine="0"/>
      </w:pPr>
    </w:lvl>
    <w:lvl w:ilvl="2">
      <w:start w:val="1"/>
      <w:numFmt w:val="lowerLetter"/>
      <w:pStyle w:val="Heading3"/>
      <w:lvlText w:val="(%3)"/>
      <w:lvlJc w:val="left"/>
      <w:pPr>
        <w:ind w:left="288" w:firstLine="0"/>
      </w:pPr>
    </w:lvl>
    <w:lvl w:ilvl="3">
      <w:start w:val="1"/>
      <w:numFmt w:val="lowerRoman"/>
      <w:pStyle w:val="Heading4"/>
      <w:lvlText w:val="(%4)"/>
      <w:lvlJc w:val="left"/>
      <w:pPr>
        <w:ind w:left="720" w:firstLine="0"/>
      </w:pPr>
    </w:lvl>
    <w:lvl w:ilvl="4">
      <w:start w:val="1"/>
      <w:numFmt w:val="decimal"/>
      <w:pStyle w:val="Heading5"/>
      <w:lvlText w:val="%5)"/>
      <w:lvlJc w:val="left"/>
      <w:pPr>
        <w:ind w:left="576" w:firstLine="0"/>
      </w:pPr>
    </w:lvl>
    <w:lvl w:ilvl="5">
      <w:start w:val="1"/>
      <w:numFmt w:val="lowerLetter"/>
      <w:pStyle w:val="Heading6"/>
      <w:lvlText w:val="%6)"/>
      <w:lvlJc w:val="left"/>
      <w:pPr>
        <w:ind w:left="720" w:firstLine="0"/>
      </w:pPr>
    </w:lvl>
    <w:lvl w:ilvl="6">
      <w:start w:val="1"/>
      <w:numFmt w:val="lowerRoman"/>
      <w:pStyle w:val="Heading7"/>
      <w:lvlText w:val="%7)"/>
      <w:lvlJc w:val="left"/>
      <w:pPr>
        <w:ind w:left="1008" w:firstLine="0"/>
      </w:pPr>
    </w:lvl>
    <w:lvl w:ilvl="7">
      <w:start w:val="1"/>
      <w:numFmt w:val="lowerLetter"/>
      <w:pStyle w:val="Heading8"/>
      <w:lvlText w:val="%8."/>
      <w:lvlJc w:val="left"/>
      <w:pPr>
        <w:ind w:left="1008" w:firstLine="0"/>
      </w:pPr>
    </w:lvl>
    <w:lvl w:ilvl="8">
      <w:start w:val="1"/>
      <w:numFmt w:val="lowerRoman"/>
      <w:pStyle w:val="Heading9"/>
      <w:lvlText w:val="%9."/>
      <w:lvlJc w:val="left"/>
      <w:pPr>
        <w:ind w:left="1440" w:firstLine="0"/>
      </w:pPr>
    </w:lvl>
  </w:abstractNum>
  <w:abstractNum w:abstractNumId="1" w15:restartNumberingAfterBreak="0">
    <w:nsid w:val="14070E95"/>
    <w:multiLevelType w:val="singleLevel"/>
    <w:tmpl w:val="4A8C2A46"/>
    <w:name w:val="Numurēts saraksts 10"/>
    <w:lvl w:ilvl="0">
      <w:numFmt w:val="bullet"/>
      <w:pStyle w:val="ListBullet"/>
      <w:lvlText w:val=""/>
      <w:lvlJc w:val="left"/>
      <w:pPr>
        <w:ind w:left="0" w:firstLine="0"/>
      </w:pPr>
      <w:rPr>
        <w:rFonts w:ascii="Symbol" w:hAnsi="Symbol"/>
      </w:rPr>
    </w:lvl>
  </w:abstractNum>
  <w:abstractNum w:abstractNumId="2" w15:restartNumberingAfterBreak="0">
    <w:nsid w:val="226E1DCB"/>
    <w:multiLevelType w:val="singleLevel"/>
    <w:tmpl w:val="68C832AE"/>
    <w:name w:val="Numurēts saraksts 3"/>
    <w:lvl w:ilvl="0">
      <w:start w:val="1"/>
      <w:numFmt w:val="decimal"/>
      <w:pStyle w:val="ListNumber3"/>
      <w:lvlText w:val="%1."/>
      <w:lvlJc w:val="left"/>
      <w:pPr>
        <w:ind w:left="566" w:firstLine="0"/>
      </w:pPr>
    </w:lvl>
  </w:abstractNum>
  <w:abstractNum w:abstractNumId="3" w15:restartNumberingAfterBreak="0">
    <w:nsid w:val="33BD0485"/>
    <w:multiLevelType w:val="hybridMultilevel"/>
    <w:tmpl w:val="48F2EEC0"/>
    <w:lvl w:ilvl="0" w:tplc="FDA8D1C0">
      <w:numFmt w:val="none"/>
      <w:lvlText w:val=""/>
      <w:lvlJc w:val="left"/>
      <w:pPr>
        <w:tabs>
          <w:tab w:val="num" w:pos="360"/>
        </w:tabs>
        <w:ind w:left="360" w:hanging="360"/>
      </w:pPr>
    </w:lvl>
    <w:lvl w:ilvl="1" w:tplc="5F7C876A">
      <w:numFmt w:val="none"/>
      <w:lvlText w:val=""/>
      <w:lvlJc w:val="left"/>
      <w:pPr>
        <w:tabs>
          <w:tab w:val="num" w:pos="360"/>
        </w:tabs>
        <w:ind w:left="360" w:hanging="360"/>
      </w:pPr>
    </w:lvl>
    <w:lvl w:ilvl="2" w:tplc="76E6CA72">
      <w:numFmt w:val="none"/>
      <w:lvlText w:val=""/>
      <w:lvlJc w:val="left"/>
      <w:pPr>
        <w:tabs>
          <w:tab w:val="num" w:pos="360"/>
        </w:tabs>
        <w:ind w:left="360" w:hanging="360"/>
      </w:pPr>
    </w:lvl>
    <w:lvl w:ilvl="3" w:tplc="03005F8C">
      <w:numFmt w:val="none"/>
      <w:lvlText w:val=""/>
      <w:lvlJc w:val="left"/>
      <w:pPr>
        <w:tabs>
          <w:tab w:val="num" w:pos="360"/>
        </w:tabs>
        <w:ind w:left="360" w:hanging="360"/>
      </w:pPr>
    </w:lvl>
    <w:lvl w:ilvl="4" w:tplc="F5B6D808">
      <w:numFmt w:val="none"/>
      <w:lvlText w:val=""/>
      <w:lvlJc w:val="left"/>
      <w:pPr>
        <w:tabs>
          <w:tab w:val="num" w:pos="360"/>
        </w:tabs>
        <w:ind w:left="360" w:hanging="360"/>
      </w:pPr>
    </w:lvl>
    <w:lvl w:ilvl="5" w:tplc="2528BC7C">
      <w:numFmt w:val="none"/>
      <w:lvlText w:val=""/>
      <w:lvlJc w:val="left"/>
      <w:pPr>
        <w:tabs>
          <w:tab w:val="num" w:pos="360"/>
        </w:tabs>
        <w:ind w:left="360" w:hanging="360"/>
      </w:pPr>
    </w:lvl>
    <w:lvl w:ilvl="6" w:tplc="5010E8FE">
      <w:numFmt w:val="none"/>
      <w:lvlText w:val=""/>
      <w:lvlJc w:val="left"/>
      <w:pPr>
        <w:tabs>
          <w:tab w:val="num" w:pos="360"/>
        </w:tabs>
        <w:ind w:left="360" w:hanging="360"/>
      </w:pPr>
    </w:lvl>
    <w:lvl w:ilvl="7" w:tplc="DA28F2C2">
      <w:numFmt w:val="none"/>
      <w:lvlText w:val=""/>
      <w:lvlJc w:val="left"/>
      <w:pPr>
        <w:tabs>
          <w:tab w:val="num" w:pos="360"/>
        </w:tabs>
        <w:ind w:left="360" w:hanging="360"/>
      </w:pPr>
    </w:lvl>
    <w:lvl w:ilvl="8" w:tplc="B38A258C">
      <w:numFmt w:val="none"/>
      <w:lvlText w:val=""/>
      <w:lvlJc w:val="left"/>
      <w:pPr>
        <w:tabs>
          <w:tab w:val="num" w:pos="360"/>
        </w:tabs>
        <w:ind w:left="360" w:hanging="360"/>
      </w:pPr>
    </w:lvl>
  </w:abstractNum>
  <w:abstractNum w:abstractNumId="4" w15:restartNumberingAfterBreak="0">
    <w:nsid w:val="45F74F0F"/>
    <w:multiLevelType w:val="singleLevel"/>
    <w:tmpl w:val="69181EE6"/>
    <w:name w:val="Numurēts saraksts 6"/>
    <w:lvl w:ilvl="0">
      <w:numFmt w:val="bullet"/>
      <w:pStyle w:val="ListBullet4"/>
      <w:lvlText w:val=""/>
      <w:lvlJc w:val="left"/>
      <w:pPr>
        <w:ind w:left="849" w:firstLine="0"/>
      </w:pPr>
      <w:rPr>
        <w:rFonts w:ascii="Symbol" w:hAnsi="Symbol"/>
      </w:rPr>
    </w:lvl>
  </w:abstractNum>
  <w:abstractNum w:abstractNumId="5" w15:restartNumberingAfterBreak="0">
    <w:nsid w:val="5BD24B41"/>
    <w:multiLevelType w:val="singleLevel"/>
    <w:tmpl w:val="665647FC"/>
    <w:name w:val="Numurēts saraksts 4"/>
    <w:lvl w:ilvl="0">
      <w:start w:val="1"/>
      <w:numFmt w:val="decimal"/>
      <w:pStyle w:val="ListNumber2"/>
      <w:lvlText w:val="%1."/>
      <w:lvlJc w:val="left"/>
      <w:pPr>
        <w:ind w:left="283" w:firstLine="0"/>
      </w:pPr>
    </w:lvl>
  </w:abstractNum>
  <w:abstractNum w:abstractNumId="6" w15:restartNumberingAfterBreak="0">
    <w:nsid w:val="5C5C6E13"/>
    <w:multiLevelType w:val="singleLevel"/>
    <w:tmpl w:val="4D3EA31C"/>
    <w:name w:val="Numurēts saraksts 1"/>
    <w:lvl w:ilvl="0">
      <w:start w:val="1"/>
      <w:numFmt w:val="decimal"/>
      <w:pStyle w:val="ListNumber5"/>
      <w:lvlText w:val="%1."/>
      <w:lvlJc w:val="left"/>
      <w:pPr>
        <w:ind w:left="1132" w:firstLine="0"/>
      </w:pPr>
    </w:lvl>
  </w:abstractNum>
  <w:abstractNum w:abstractNumId="7" w15:restartNumberingAfterBreak="0">
    <w:nsid w:val="6F04396D"/>
    <w:multiLevelType w:val="singleLevel"/>
    <w:tmpl w:val="99444002"/>
    <w:name w:val="Numurēts saraksts 7"/>
    <w:lvl w:ilvl="0">
      <w:numFmt w:val="bullet"/>
      <w:pStyle w:val="ListBullet3"/>
      <w:lvlText w:val=""/>
      <w:lvlJc w:val="left"/>
      <w:pPr>
        <w:ind w:left="566" w:firstLine="0"/>
      </w:pPr>
      <w:rPr>
        <w:rFonts w:ascii="Symbol" w:hAnsi="Symbol"/>
      </w:rPr>
    </w:lvl>
  </w:abstractNum>
  <w:abstractNum w:abstractNumId="8" w15:restartNumberingAfterBreak="0">
    <w:nsid w:val="709306E0"/>
    <w:multiLevelType w:val="singleLevel"/>
    <w:tmpl w:val="C19E7ACA"/>
    <w:name w:val="Numurēts saraksts 8"/>
    <w:lvl w:ilvl="0">
      <w:numFmt w:val="bullet"/>
      <w:pStyle w:val="ListBullet2"/>
      <w:lvlText w:val=""/>
      <w:lvlJc w:val="left"/>
      <w:pPr>
        <w:ind w:left="283" w:firstLine="0"/>
      </w:pPr>
      <w:rPr>
        <w:rFonts w:ascii="Symbol" w:hAnsi="Symbol"/>
      </w:rPr>
    </w:lvl>
  </w:abstractNum>
  <w:abstractNum w:abstractNumId="9" w15:restartNumberingAfterBreak="0">
    <w:nsid w:val="717E4714"/>
    <w:multiLevelType w:val="singleLevel"/>
    <w:tmpl w:val="0952EAE8"/>
    <w:name w:val="Numurēts saraksts 5"/>
    <w:lvl w:ilvl="0">
      <w:numFmt w:val="bullet"/>
      <w:pStyle w:val="ListBullet5"/>
      <w:lvlText w:val=""/>
      <w:lvlJc w:val="left"/>
      <w:pPr>
        <w:ind w:left="1132" w:firstLine="0"/>
      </w:pPr>
      <w:rPr>
        <w:rFonts w:ascii="Symbol" w:hAnsi="Symbol"/>
      </w:rPr>
    </w:lvl>
  </w:abstractNum>
  <w:abstractNum w:abstractNumId="10" w15:restartNumberingAfterBreak="0">
    <w:nsid w:val="7AA56600"/>
    <w:multiLevelType w:val="singleLevel"/>
    <w:tmpl w:val="ADBED49E"/>
    <w:name w:val="Numurēts saraksts 2"/>
    <w:lvl w:ilvl="0">
      <w:start w:val="1"/>
      <w:numFmt w:val="decimal"/>
      <w:pStyle w:val="ListNumber4"/>
      <w:lvlText w:val="%1."/>
      <w:lvlJc w:val="left"/>
      <w:pPr>
        <w:ind w:left="849" w:firstLine="0"/>
      </w:pPr>
    </w:lvl>
  </w:abstractNum>
  <w:abstractNum w:abstractNumId="11" w15:restartNumberingAfterBreak="0">
    <w:nsid w:val="7D33577A"/>
    <w:multiLevelType w:val="singleLevel"/>
    <w:tmpl w:val="7040D0F0"/>
    <w:name w:val="Numurēts saraksts 9"/>
    <w:lvl w:ilvl="0">
      <w:start w:val="1"/>
      <w:numFmt w:val="decimal"/>
      <w:pStyle w:val="ListNumber"/>
      <w:lvlText w:val="%1."/>
      <w:lvlJc w:val="left"/>
      <w:pPr>
        <w:ind w:left="0" w:firstLine="0"/>
      </w:pPr>
    </w:lvl>
  </w:abstractNum>
  <w:num w:numId="1">
    <w:abstractNumId w:val="6"/>
  </w:num>
  <w:num w:numId="2">
    <w:abstractNumId w:val="10"/>
  </w:num>
  <w:num w:numId="3">
    <w:abstractNumId w:val="2"/>
  </w:num>
  <w:num w:numId="4">
    <w:abstractNumId w:val="5"/>
  </w:num>
  <w:num w:numId="5">
    <w:abstractNumId w:val="9"/>
  </w:num>
  <w:num w:numId="6">
    <w:abstractNumId w:val="4"/>
  </w:num>
  <w:num w:numId="7">
    <w:abstractNumId w:val="7"/>
  </w:num>
  <w:num w:numId="8">
    <w:abstractNumId w:val="8"/>
  </w:num>
  <w:num w:numId="9">
    <w:abstractNumId w:val="11"/>
  </w:num>
  <w:num w:numId="10">
    <w:abstractNumId w:val="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rawingGridVerticalSpacing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348"/>
    <w:rsid w:val="002A5511"/>
    <w:rsid w:val="003D1FEC"/>
    <w:rsid w:val="00424348"/>
    <w:rsid w:val="005B60DA"/>
    <w:rsid w:val="00797E10"/>
    <w:rsid w:val="00835DD6"/>
    <w:rsid w:val="0085286D"/>
    <w:rsid w:val="008D0BE5"/>
    <w:rsid w:val="00923B4B"/>
    <w:rsid w:val="0093332A"/>
    <w:rsid w:val="00AC6669"/>
    <w:rsid w:val="00C93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907FE"/>
  <w15:docId w15:val="{82BD957F-C7B4-42AF-8D0C-E3B442F80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lv-LV"/>
    </w:rPr>
  </w:style>
  <w:style w:type="paragraph" w:styleId="Heading1">
    <w:name w:val="heading 1"/>
    <w:basedOn w:val="Normal"/>
    <w:next w:val="Normal"/>
    <w:qFormat/>
    <w:pPr>
      <w:keepNext/>
      <w:numPr>
        <w:numId w:val="11"/>
      </w:numPr>
      <w:spacing w:before="240" w:after="60"/>
      <w:outlineLvl w:val="0"/>
    </w:pPr>
    <w:rPr>
      <w:rFonts w:ascii="Arial" w:hAnsi="Arial" w:cs="Arial"/>
      <w:b/>
      <w:bCs/>
      <w:kern w:val="1"/>
      <w:sz w:val="32"/>
      <w:szCs w:val="32"/>
    </w:rPr>
  </w:style>
  <w:style w:type="paragraph" w:styleId="Heading2">
    <w:name w:val="heading 2"/>
    <w:basedOn w:val="Normal"/>
    <w:next w:val="Normal"/>
    <w:qFormat/>
    <w:pPr>
      <w:keepNext/>
      <w:numPr>
        <w:ilvl w:val="1"/>
        <w:numId w:val="1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1"/>
      </w:numPr>
      <w:spacing w:before="240" w:after="60"/>
      <w:ind w:left="720" w:hanging="432"/>
      <w:outlineLvl w:val="2"/>
    </w:pPr>
    <w:rPr>
      <w:rFonts w:ascii="Arial" w:hAnsi="Arial" w:cs="Arial"/>
      <w:b/>
      <w:bCs/>
      <w:sz w:val="26"/>
      <w:szCs w:val="26"/>
    </w:rPr>
  </w:style>
  <w:style w:type="paragraph" w:styleId="Heading4">
    <w:name w:val="heading 4"/>
    <w:basedOn w:val="Normal"/>
    <w:next w:val="Normal"/>
    <w:qFormat/>
    <w:pPr>
      <w:keepNext/>
      <w:numPr>
        <w:ilvl w:val="3"/>
        <w:numId w:val="11"/>
      </w:numPr>
      <w:spacing w:before="240" w:after="60"/>
      <w:ind w:left="864" w:hanging="144"/>
      <w:outlineLvl w:val="3"/>
    </w:pPr>
    <w:rPr>
      <w:b/>
      <w:bCs/>
      <w:sz w:val="28"/>
      <w:szCs w:val="28"/>
    </w:rPr>
  </w:style>
  <w:style w:type="paragraph" w:styleId="Heading5">
    <w:name w:val="heading 5"/>
    <w:basedOn w:val="Normal"/>
    <w:next w:val="Normal"/>
    <w:qFormat/>
    <w:pPr>
      <w:numPr>
        <w:ilvl w:val="4"/>
        <w:numId w:val="11"/>
      </w:numPr>
      <w:spacing w:before="240" w:after="60"/>
      <w:ind w:left="1008" w:hanging="432"/>
      <w:outlineLvl w:val="4"/>
    </w:pPr>
    <w:rPr>
      <w:b/>
      <w:bCs/>
      <w:i/>
      <w:iCs/>
      <w:sz w:val="26"/>
      <w:szCs w:val="26"/>
    </w:rPr>
  </w:style>
  <w:style w:type="paragraph" w:styleId="Heading6">
    <w:name w:val="heading 6"/>
    <w:basedOn w:val="Normal"/>
    <w:next w:val="Normal"/>
    <w:qFormat/>
    <w:pPr>
      <w:numPr>
        <w:ilvl w:val="5"/>
        <w:numId w:val="11"/>
      </w:numPr>
      <w:spacing w:before="240" w:after="60"/>
      <w:ind w:left="1152" w:hanging="432"/>
      <w:outlineLvl w:val="5"/>
    </w:pPr>
    <w:rPr>
      <w:b/>
      <w:bCs/>
      <w:sz w:val="22"/>
      <w:szCs w:val="22"/>
    </w:rPr>
  </w:style>
  <w:style w:type="paragraph" w:styleId="Heading7">
    <w:name w:val="heading 7"/>
    <w:basedOn w:val="Normal"/>
    <w:next w:val="Normal"/>
    <w:qFormat/>
    <w:pPr>
      <w:numPr>
        <w:ilvl w:val="6"/>
        <w:numId w:val="11"/>
      </w:numPr>
      <w:spacing w:before="240" w:after="60"/>
      <w:ind w:left="1296" w:hanging="288"/>
      <w:outlineLvl w:val="6"/>
    </w:pPr>
  </w:style>
  <w:style w:type="paragraph" w:styleId="Heading8">
    <w:name w:val="heading 8"/>
    <w:basedOn w:val="Normal"/>
    <w:next w:val="Normal"/>
    <w:qFormat/>
    <w:pPr>
      <w:numPr>
        <w:ilvl w:val="7"/>
        <w:numId w:val="11"/>
      </w:numPr>
      <w:spacing w:before="240" w:after="60"/>
      <w:ind w:left="1440" w:hanging="432"/>
      <w:outlineLvl w:val="7"/>
    </w:pPr>
    <w:rPr>
      <w:i/>
      <w:iCs/>
    </w:rPr>
  </w:style>
  <w:style w:type="paragraph" w:styleId="Heading9">
    <w:name w:val="heading 9"/>
    <w:basedOn w:val="Normal"/>
    <w:next w:val="Normal"/>
    <w:qFormat/>
    <w:pPr>
      <w:numPr>
        <w:ilvl w:val="8"/>
        <w:numId w:val="11"/>
      </w:numPr>
      <w:spacing w:before="240" w:after="60"/>
      <w:ind w:left="1584" w:hanging="14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rFonts w:ascii="Tahoma" w:hAnsi="Tahoma" w:cs="Tahoma"/>
      <w:sz w:val="16"/>
      <w:szCs w:val="16"/>
    </w:rPr>
  </w:style>
  <w:style w:type="paragraph" w:styleId="BlockText">
    <w:name w:val="Block Text"/>
    <w:basedOn w:val="Normal"/>
    <w:qFormat/>
    <w:pPr>
      <w:spacing w:after="120"/>
      <w:ind w:left="1440" w:right="1440"/>
    </w:pPr>
  </w:style>
  <w:style w:type="paragraph" w:styleId="BodyText">
    <w:name w:val="Body Text"/>
    <w:basedOn w:val="Normal"/>
    <w:qFormat/>
    <w:pPr>
      <w:spacing w:after="120"/>
    </w:p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210"/>
    </w:pPr>
  </w:style>
  <w:style w:type="paragraph" w:styleId="BodyTextIndent">
    <w:name w:val="Body Text Indent"/>
    <w:basedOn w:val="Normal"/>
    <w:qFormat/>
    <w:pPr>
      <w:spacing w:after="120"/>
      <w:ind w:left="283"/>
    </w:pPr>
  </w:style>
  <w:style w:type="paragraph" w:styleId="BodyTextFirstIndent2">
    <w:name w:val="Body Text First Indent 2"/>
    <w:basedOn w:val="BodyTextIndent"/>
    <w:qFormat/>
    <w:pPr>
      <w:ind w:firstLine="210"/>
    </w:pPr>
  </w:style>
  <w:style w:type="paragraph" w:styleId="BodyTextIndent2">
    <w:name w:val="Body Text Indent 2"/>
    <w:basedOn w:val="Normal"/>
    <w:qFormat/>
    <w:pPr>
      <w:spacing w:after="120" w:line="480" w:lineRule="auto"/>
      <w:ind w:left="283"/>
    </w:pPr>
  </w:style>
  <w:style w:type="paragraph" w:styleId="BodyTextIndent3">
    <w:name w:val="Body Text Indent 3"/>
    <w:basedOn w:val="Normal"/>
    <w:qFormat/>
    <w:pPr>
      <w:spacing w:after="120"/>
      <w:ind w:left="283"/>
    </w:pPr>
    <w:rPr>
      <w:sz w:val="16"/>
      <w:szCs w:val="16"/>
    </w:rPr>
  </w:style>
  <w:style w:type="paragraph" w:styleId="Caption">
    <w:name w:val="caption"/>
    <w:basedOn w:val="Normal"/>
    <w:next w:val="Normal"/>
    <w:qFormat/>
    <w:rPr>
      <w:b/>
      <w:bCs/>
      <w:sz w:val="20"/>
      <w:szCs w:val="20"/>
    </w:rPr>
  </w:style>
  <w:style w:type="paragraph" w:styleId="Closing">
    <w:name w:val="Closing"/>
    <w:basedOn w:val="Normal"/>
    <w:qFormat/>
    <w:pPr>
      <w:ind w:left="4252"/>
    </w:pPr>
  </w:style>
  <w:style w:type="paragraph" w:customStyle="1" w:styleId="Komentrateksts1">
    <w:name w:val="Komentāra teksts1"/>
    <w:basedOn w:val="Normal"/>
    <w:qFormat/>
    <w:rPr>
      <w:sz w:val="20"/>
      <w:szCs w:val="20"/>
    </w:rPr>
  </w:style>
  <w:style w:type="paragraph" w:customStyle="1" w:styleId="Komentratma1">
    <w:name w:val="Komentāra tēma1"/>
    <w:basedOn w:val="Komentrateksts1"/>
    <w:next w:val="Komentrateksts1"/>
    <w:qFormat/>
    <w:rPr>
      <w:b/>
      <w:bCs/>
    </w:rPr>
  </w:style>
  <w:style w:type="paragraph" w:styleId="Date">
    <w:name w:val="Date"/>
    <w:basedOn w:val="Normal"/>
    <w:next w:val="Normal"/>
    <w:qFormat/>
  </w:style>
  <w:style w:type="paragraph" w:styleId="DocumentMap">
    <w:name w:val="Document Map"/>
    <w:basedOn w:val="Normal"/>
    <w:qFormat/>
    <w:pPr>
      <w:pBdr>
        <w:top w:val="nil"/>
        <w:left w:val="nil"/>
        <w:bottom w:val="nil"/>
        <w:right w:val="nil"/>
        <w:between w:val="nil"/>
      </w:pBdr>
      <w:shd w:val="solid" w:color="000080" w:fill="auto"/>
    </w:pPr>
    <w:rPr>
      <w:rFonts w:ascii="Tahoma" w:hAnsi="Tahoma" w:cs="Tahoma"/>
      <w:sz w:val="20"/>
      <w:szCs w:val="20"/>
    </w:rPr>
  </w:style>
  <w:style w:type="paragraph" w:styleId="E-mailSignature">
    <w:name w:val="E-mail Signature"/>
    <w:basedOn w:val="Normal"/>
    <w:qFormat/>
  </w:style>
  <w:style w:type="paragraph" w:styleId="EndnoteText">
    <w:name w:val="endnote text"/>
    <w:basedOn w:val="Normal"/>
    <w:qFormat/>
    <w:rPr>
      <w:sz w:val="20"/>
      <w:szCs w:val="20"/>
    </w:rPr>
  </w:style>
  <w:style w:type="paragraph" w:styleId="EnvelopeAddress">
    <w:name w:val="envelope address"/>
    <w:basedOn w:val="Normal"/>
    <w:qFormat/>
    <w:pPr>
      <w:ind w:left="2880"/>
    </w:pPr>
    <w:rPr>
      <w:rFonts w:ascii="Arial" w:hAnsi="Arial" w:cs="Arial"/>
    </w:rPr>
  </w:style>
  <w:style w:type="paragraph" w:styleId="EnvelopeReturn">
    <w:name w:val="envelope return"/>
    <w:basedOn w:val="Normal"/>
    <w:qFormat/>
    <w:rPr>
      <w:rFonts w:ascii="Arial" w:hAnsi="Arial" w:cs="Arial"/>
      <w:sz w:val="20"/>
      <w:szCs w:val="20"/>
    </w:rPr>
  </w:style>
  <w:style w:type="paragraph" w:styleId="Footer">
    <w:name w:val="footer"/>
    <w:basedOn w:val="Normal"/>
    <w:qFormat/>
    <w:pPr>
      <w:tabs>
        <w:tab w:val="center" w:pos="4153"/>
        <w:tab w:val="right" w:pos="8306"/>
      </w:tabs>
    </w:pPr>
  </w:style>
  <w:style w:type="paragraph" w:styleId="FootnoteText">
    <w:name w:val="footnote text"/>
    <w:basedOn w:val="Normal"/>
    <w:qFormat/>
    <w:rPr>
      <w:sz w:val="20"/>
      <w:szCs w:val="20"/>
    </w:rPr>
  </w:style>
  <w:style w:type="paragraph" w:styleId="Header">
    <w:name w:val="header"/>
    <w:basedOn w:val="Normal"/>
    <w:qFormat/>
    <w:pPr>
      <w:tabs>
        <w:tab w:val="center" w:pos="4153"/>
        <w:tab w:val="right" w:pos="8306"/>
      </w:tabs>
    </w:pPr>
  </w:style>
  <w:style w:type="paragraph" w:styleId="HTMLAddress">
    <w:name w:val="HTML Address"/>
    <w:basedOn w:val="Normal"/>
    <w:qFormat/>
    <w:rPr>
      <w:i/>
      <w:iCs/>
    </w:rPr>
  </w:style>
  <w:style w:type="paragraph" w:styleId="HTMLPreformatted">
    <w:name w:val="HTML Preformatted"/>
    <w:basedOn w:val="Normal"/>
    <w:qFormat/>
    <w:rPr>
      <w:rFonts w:ascii="Courier New" w:hAnsi="Courier New" w:cs="Courier New"/>
      <w:sz w:val="20"/>
      <w:szCs w:val="20"/>
    </w:rPr>
  </w:style>
  <w:style w:type="paragraph" w:styleId="Index1">
    <w:name w:val="index 1"/>
    <w:basedOn w:val="Normal"/>
    <w:next w:val="Normal"/>
    <w:qFormat/>
    <w:pPr>
      <w:ind w:left="240" w:hanging="240"/>
    </w:pPr>
  </w:style>
  <w:style w:type="paragraph" w:styleId="Index2">
    <w:name w:val="index 2"/>
    <w:basedOn w:val="Normal"/>
    <w:next w:val="Normal"/>
    <w:qFormat/>
    <w:pPr>
      <w:ind w:left="480" w:hanging="240"/>
    </w:pPr>
  </w:style>
  <w:style w:type="paragraph" w:styleId="Index3">
    <w:name w:val="index 3"/>
    <w:basedOn w:val="Normal"/>
    <w:next w:val="Normal"/>
    <w:qFormat/>
    <w:pPr>
      <w:ind w:left="720" w:hanging="240"/>
    </w:pPr>
  </w:style>
  <w:style w:type="paragraph" w:styleId="Index4">
    <w:name w:val="index 4"/>
    <w:basedOn w:val="Normal"/>
    <w:next w:val="Normal"/>
    <w:qFormat/>
    <w:pPr>
      <w:ind w:left="960" w:hanging="240"/>
    </w:pPr>
  </w:style>
  <w:style w:type="paragraph" w:styleId="Index5">
    <w:name w:val="index 5"/>
    <w:basedOn w:val="Normal"/>
    <w:next w:val="Normal"/>
    <w:qFormat/>
    <w:pPr>
      <w:ind w:left="1200" w:hanging="240"/>
    </w:pPr>
  </w:style>
  <w:style w:type="paragraph" w:styleId="Index6">
    <w:name w:val="index 6"/>
    <w:basedOn w:val="Normal"/>
    <w:next w:val="Normal"/>
    <w:qFormat/>
    <w:pPr>
      <w:ind w:left="1440" w:hanging="240"/>
    </w:pPr>
  </w:style>
  <w:style w:type="paragraph" w:styleId="Index7">
    <w:name w:val="index 7"/>
    <w:basedOn w:val="Normal"/>
    <w:next w:val="Normal"/>
    <w:qFormat/>
    <w:pPr>
      <w:ind w:left="1680" w:hanging="240"/>
    </w:pPr>
  </w:style>
  <w:style w:type="paragraph" w:styleId="Index8">
    <w:name w:val="index 8"/>
    <w:basedOn w:val="Normal"/>
    <w:next w:val="Normal"/>
    <w:qFormat/>
    <w:pPr>
      <w:ind w:left="1920" w:hanging="240"/>
    </w:pPr>
  </w:style>
  <w:style w:type="paragraph" w:styleId="Index9">
    <w:name w:val="index 9"/>
    <w:basedOn w:val="Normal"/>
    <w:next w:val="Normal"/>
    <w:qFormat/>
    <w:pPr>
      <w:ind w:left="2160" w:hanging="240"/>
    </w:pPr>
  </w:style>
  <w:style w:type="paragraph" w:styleId="IndexHeading">
    <w:name w:val="index heading"/>
    <w:basedOn w:val="Normal"/>
    <w:next w:val="Index1"/>
    <w:qFormat/>
    <w:rPr>
      <w:rFonts w:ascii="Arial" w:hAnsi="Arial" w:cs="Arial"/>
      <w:b/>
      <w:bCs/>
    </w:rPr>
  </w:style>
  <w:style w:type="paragraph" w:styleId="List">
    <w:name w:val="List"/>
    <w:basedOn w:val="Normal"/>
    <w:qFormat/>
    <w:pPr>
      <w:ind w:left="283" w:hanging="283"/>
    </w:pPr>
  </w:style>
  <w:style w:type="paragraph" w:styleId="List2">
    <w:name w:val="List 2"/>
    <w:basedOn w:val="Normal"/>
    <w:qFormat/>
    <w:pPr>
      <w:ind w:left="566" w:hanging="283"/>
    </w:pPr>
  </w:style>
  <w:style w:type="paragraph" w:styleId="List3">
    <w:name w:val="List 3"/>
    <w:basedOn w:val="Normal"/>
    <w:qFormat/>
    <w:pPr>
      <w:ind w:left="849" w:hanging="283"/>
    </w:pPr>
  </w:style>
  <w:style w:type="paragraph" w:styleId="List4">
    <w:name w:val="List 4"/>
    <w:basedOn w:val="Normal"/>
    <w:qFormat/>
    <w:pPr>
      <w:ind w:left="1132" w:hanging="283"/>
    </w:pPr>
  </w:style>
  <w:style w:type="paragraph" w:styleId="List5">
    <w:name w:val="List 5"/>
    <w:basedOn w:val="Normal"/>
    <w:qFormat/>
    <w:pPr>
      <w:ind w:left="1415" w:hanging="283"/>
    </w:pPr>
  </w:style>
  <w:style w:type="paragraph" w:styleId="ListBullet">
    <w:name w:val="List Bullet"/>
    <w:basedOn w:val="Normal"/>
    <w:qFormat/>
    <w:pPr>
      <w:numPr>
        <w:numId w:val="10"/>
      </w:numPr>
      <w:ind w:left="360" w:hanging="360"/>
    </w:pPr>
  </w:style>
  <w:style w:type="paragraph" w:styleId="ListBullet2">
    <w:name w:val="List Bullet 2"/>
    <w:basedOn w:val="Normal"/>
    <w:qFormat/>
    <w:pPr>
      <w:numPr>
        <w:numId w:val="8"/>
      </w:numPr>
      <w:ind w:left="643" w:hanging="360"/>
    </w:pPr>
  </w:style>
  <w:style w:type="paragraph" w:styleId="ListBullet3">
    <w:name w:val="List Bullet 3"/>
    <w:basedOn w:val="Normal"/>
    <w:qFormat/>
    <w:pPr>
      <w:numPr>
        <w:numId w:val="7"/>
      </w:numPr>
      <w:ind w:left="926" w:hanging="360"/>
    </w:pPr>
  </w:style>
  <w:style w:type="paragraph" w:styleId="ListBullet4">
    <w:name w:val="List Bullet 4"/>
    <w:basedOn w:val="Normal"/>
    <w:qFormat/>
    <w:pPr>
      <w:numPr>
        <w:numId w:val="6"/>
      </w:numPr>
      <w:ind w:left="1209" w:hanging="360"/>
    </w:pPr>
  </w:style>
  <w:style w:type="paragraph" w:styleId="ListBullet5">
    <w:name w:val="List Bullet 5"/>
    <w:basedOn w:val="Normal"/>
    <w:qFormat/>
    <w:pPr>
      <w:numPr>
        <w:numId w:val="5"/>
      </w:numPr>
      <w:ind w:left="1492" w:hanging="360"/>
    </w:pPr>
  </w:style>
  <w:style w:type="paragraph" w:styleId="ListContinue">
    <w:name w:val="List Continue"/>
    <w:basedOn w:val="Normal"/>
    <w:qFormat/>
    <w:pPr>
      <w:spacing w:after="120"/>
      <w:ind w:left="283"/>
    </w:pPr>
  </w:style>
  <w:style w:type="paragraph" w:styleId="ListContinue2">
    <w:name w:val="List Continue 2"/>
    <w:basedOn w:val="Normal"/>
    <w:qFormat/>
    <w:pPr>
      <w:spacing w:after="120"/>
      <w:ind w:left="566"/>
    </w:pPr>
  </w:style>
  <w:style w:type="paragraph" w:styleId="ListContinue3">
    <w:name w:val="List Continue 3"/>
    <w:basedOn w:val="Normal"/>
    <w:qFormat/>
    <w:pPr>
      <w:spacing w:after="120"/>
      <w:ind w:left="849"/>
    </w:pPr>
  </w:style>
  <w:style w:type="paragraph" w:styleId="ListContinue4">
    <w:name w:val="List Continue 4"/>
    <w:basedOn w:val="Normal"/>
    <w:qFormat/>
    <w:pPr>
      <w:spacing w:after="120"/>
      <w:ind w:left="1132"/>
    </w:pPr>
  </w:style>
  <w:style w:type="paragraph" w:styleId="ListContinue5">
    <w:name w:val="List Continue 5"/>
    <w:basedOn w:val="Normal"/>
    <w:qFormat/>
    <w:pPr>
      <w:spacing w:after="120"/>
      <w:ind w:left="1415"/>
    </w:pPr>
  </w:style>
  <w:style w:type="paragraph" w:styleId="ListNumber">
    <w:name w:val="List Number"/>
    <w:basedOn w:val="Normal"/>
    <w:qFormat/>
    <w:pPr>
      <w:numPr>
        <w:numId w:val="9"/>
      </w:numPr>
      <w:ind w:left="360" w:hanging="360"/>
    </w:pPr>
  </w:style>
  <w:style w:type="paragraph" w:styleId="ListNumber2">
    <w:name w:val="List Number 2"/>
    <w:basedOn w:val="Normal"/>
    <w:qFormat/>
    <w:pPr>
      <w:numPr>
        <w:numId w:val="4"/>
      </w:numPr>
      <w:ind w:left="643" w:hanging="360"/>
    </w:pPr>
  </w:style>
  <w:style w:type="paragraph" w:styleId="ListNumber3">
    <w:name w:val="List Number 3"/>
    <w:basedOn w:val="Normal"/>
    <w:qFormat/>
    <w:pPr>
      <w:numPr>
        <w:numId w:val="3"/>
      </w:numPr>
      <w:ind w:left="926" w:hanging="360"/>
    </w:pPr>
  </w:style>
  <w:style w:type="paragraph" w:styleId="ListNumber4">
    <w:name w:val="List Number 4"/>
    <w:basedOn w:val="Normal"/>
    <w:qFormat/>
    <w:pPr>
      <w:numPr>
        <w:numId w:val="2"/>
      </w:numPr>
      <w:ind w:left="1209" w:hanging="360"/>
    </w:pPr>
  </w:style>
  <w:style w:type="paragraph" w:styleId="ListNumber5">
    <w:name w:val="List Number 5"/>
    <w:basedOn w:val="Normal"/>
    <w:qFormat/>
    <w:pPr>
      <w:numPr>
        <w:numId w:val="1"/>
      </w:numPr>
      <w:ind w:left="1492" w:hanging="360"/>
    </w:pPr>
  </w:style>
  <w:style w:type="paragraph" w:customStyle="1" w:styleId="Makroteksts1">
    <w:name w:val="Makro teksts1"/>
    <w:qFormat/>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lv-LV"/>
    </w:rPr>
  </w:style>
  <w:style w:type="paragraph" w:styleId="MessageHeader">
    <w:name w:val="Message Header"/>
    <w:basedOn w:val="Normal"/>
    <w:qFormat/>
    <w:pPr>
      <w:pBdr>
        <w:top w:val="single" w:sz="6" w:space="1" w:color="000000"/>
        <w:left w:val="single" w:sz="6" w:space="1" w:color="000000"/>
        <w:bottom w:val="single" w:sz="6" w:space="1" w:color="000000"/>
        <w:right w:val="single" w:sz="6" w:space="1" w:color="000000"/>
        <w:between w:val="nil"/>
      </w:pBdr>
      <w:shd w:val="solid" w:color="CCCCCC" w:fill="auto"/>
      <w:ind w:left="1134" w:hanging="1134"/>
    </w:pPr>
    <w:rPr>
      <w:rFonts w:ascii="Arial" w:hAnsi="Arial" w:cs="Arial"/>
    </w:rPr>
  </w:style>
  <w:style w:type="paragraph" w:styleId="NormalWeb">
    <w:name w:val="Normal (Web)"/>
    <w:basedOn w:val="Normal"/>
    <w:qFormat/>
  </w:style>
  <w:style w:type="paragraph" w:styleId="NormalIndent">
    <w:name w:val="Normal Indent"/>
    <w:basedOn w:val="Normal"/>
    <w:qFormat/>
    <w:pPr>
      <w:ind w:left="720"/>
    </w:pPr>
  </w:style>
  <w:style w:type="paragraph" w:styleId="NoteHeading">
    <w:name w:val="Note Heading"/>
    <w:basedOn w:val="Normal"/>
    <w:next w:val="Normal"/>
    <w:qFormat/>
  </w:style>
  <w:style w:type="paragraph" w:styleId="PlainText">
    <w:name w:val="Plain Text"/>
    <w:basedOn w:val="Normal"/>
    <w:qFormat/>
    <w:rPr>
      <w:rFonts w:ascii="Courier New" w:hAnsi="Courier New" w:cs="Courier New"/>
      <w:sz w:val="20"/>
      <w:szCs w:val="20"/>
    </w:rPr>
  </w:style>
  <w:style w:type="paragraph" w:styleId="Salutation">
    <w:name w:val="Salutation"/>
    <w:basedOn w:val="Normal"/>
    <w:next w:val="Normal"/>
    <w:qFormat/>
  </w:style>
  <w:style w:type="paragraph" w:styleId="Signature">
    <w:name w:val="Signature"/>
    <w:basedOn w:val="Normal"/>
    <w:qFormat/>
    <w:pPr>
      <w:ind w:left="4252"/>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qFormat/>
    <w:pPr>
      <w:ind w:left="240" w:hanging="240"/>
    </w:pPr>
  </w:style>
  <w:style w:type="paragraph" w:styleId="TableofFigures">
    <w:name w:val="table of figures"/>
    <w:basedOn w:val="Normal"/>
    <w:next w:val="Normal"/>
    <w:qFormat/>
  </w:style>
  <w:style w:type="paragraph" w:styleId="Title">
    <w:name w:val="Title"/>
    <w:basedOn w:val="Normal"/>
    <w:qFormat/>
    <w:pPr>
      <w:spacing w:before="240" w:after="60"/>
      <w:jc w:val="center"/>
      <w:outlineLvl w:val="0"/>
    </w:pPr>
    <w:rPr>
      <w:rFonts w:ascii="Arial" w:hAnsi="Arial" w:cs="Arial"/>
      <w:b/>
      <w:bCs/>
      <w:kern w:val="1"/>
      <w:sz w:val="32"/>
      <w:szCs w:val="32"/>
    </w:rPr>
  </w:style>
  <w:style w:type="paragraph" w:styleId="TOAHeading">
    <w:name w:val="toa heading"/>
    <w:basedOn w:val="Normal"/>
    <w:next w:val="Normal"/>
    <w:qFormat/>
    <w:pPr>
      <w:spacing w:before="120"/>
    </w:pPr>
    <w:rPr>
      <w:rFonts w:ascii="Arial" w:hAnsi="Arial" w:cs="Arial"/>
      <w:b/>
      <w:bCs/>
    </w:rPr>
  </w:style>
  <w:style w:type="paragraph" w:styleId="TOC1">
    <w:name w:val="toc 1"/>
    <w:basedOn w:val="Normal"/>
    <w:next w:val="Normal"/>
    <w:qFormat/>
  </w:style>
  <w:style w:type="paragraph" w:styleId="TOC2">
    <w:name w:val="toc 2"/>
    <w:basedOn w:val="Normal"/>
    <w:next w:val="Normal"/>
    <w:qFormat/>
    <w:pPr>
      <w:ind w:left="240"/>
    </w:pPr>
  </w:style>
  <w:style w:type="paragraph" w:styleId="TOC3">
    <w:name w:val="toc 3"/>
    <w:basedOn w:val="Normal"/>
    <w:next w:val="Normal"/>
    <w:qFormat/>
    <w:pPr>
      <w:ind w:left="480"/>
    </w:pPr>
  </w:style>
  <w:style w:type="paragraph" w:styleId="TOC4">
    <w:name w:val="toc 4"/>
    <w:basedOn w:val="Normal"/>
    <w:next w:val="Normal"/>
    <w:qFormat/>
    <w:pPr>
      <w:ind w:left="720"/>
    </w:pPr>
  </w:style>
  <w:style w:type="paragraph" w:styleId="TOC5">
    <w:name w:val="toc 5"/>
    <w:basedOn w:val="Normal"/>
    <w:next w:val="Normal"/>
    <w:qFormat/>
    <w:pPr>
      <w:ind w:left="960"/>
    </w:pPr>
  </w:style>
  <w:style w:type="paragraph" w:styleId="TOC6">
    <w:name w:val="toc 6"/>
    <w:basedOn w:val="Normal"/>
    <w:next w:val="Normal"/>
    <w:qFormat/>
    <w:pPr>
      <w:ind w:left="1200"/>
    </w:pPr>
  </w:style>
  <w:style w:type="paragraph" w:styleId="TOC7">
    <w:name w:val="toc 7"/>
    <w:basedOn w:val="Normal"/>
    <w:next w:val="Normal"/>
    <w:qFormat/>
    <w:pPr>
      <w:ind w:left="1440"/>
    </w:pPr>
  </w:style>
  <w:style w:type="paragraph" w:styleId="TOC8">
    <w:name w:val="toc 8"/>
    <w:basedOn w:val="Normal"/>
    <w:next w:val="Normal"/>
    <w:qFormat/>
    <w:pPr>
      <w:ind w:left="1680"/>
    </w:pPr>
  </w:style>
  <w:style w:type="paragraph" w:styleId="TOC9">
    <w:name w:val="toc 9"/>
    <w:basedOn w:val="Normal"/>
    <w:next w:val="Normal"/>
    <w:qFormat/>
    <w:pPr>
      <w:ind w:left="1920"/>
    </w:pPr>
  </w:style>
  <w:style w:type="paragraph" w:styleId="ListParagraph">
    <w:name w:val="List Paragraph"/>
    <w:basedOn w:val="Normal"/>
    <w:qFormat/>
    <w:pPr>
      <w:spacing w:after="200" w:line="276" w:lineRule="auto"/>
      <w:ind w:left="720"/>
      <w:contextualSpacing/>
    </w:pPr>
    <w:rPr>
      <w:rFonts w:ascii="Calibri" w:eastAsia="Calibri" w:hAnsi="Calibri"/>
      <w:sz w:val="22"/>
      <w:szCs w:val="22"/>
    </w:rPr>
  </w:style>
  <w:style w:type="paragraph" w:styleId="NoSpacing">
    <w:name w:val="No Spacing"/>
    <w:qFormat/>
    <w:rPr>
      <w:rFonts w:ascii="Calibri" w:eastAsia="Calibri" w:hAnsi="Calibri"/>
      <w:sz w:val="22"/>
      <w:szCs w:val="22"/>
      <w:lang w:val="lv-LV"/>
    </w:rPr>
  </w:style>
  <w:style w:type="paragraph" w:customStyle="1" w:styleId="Default">
    <w:name w:val="Default"/>
    <w:qFormat/>
    <w:rPr>
      <w:rFonts w:ascii="Arial" w:eastAsia="Calibri" w:hAnsi="Arial" w:cs="Arial"/>
      <w:color w:val="000000"/>
      <w:sz w:val="24"/>
      <w:szCs w:val="24"/>
      <w:lang w:val="de-AT"/>
    </w:rPr>
  </w:style>
  <w:style w:type="paragraph" w:customStyle="1" w:styleId="StyleRight">
    <w:name w:val="Style Right"/>
    <w:basedOn w:val="Normal"/>
    <w:qFormat/>
    <w:pPr>
      <w:spacing w:after="120"/>
      <w:ind w:firstLine="720"/>
      <w:jc w:val="right"/>
    </w:pPr>
    <w:rPr>
      <w:sz w:val="28"/>
      <w:szCs w:val="28"/>
    </w:rPr>
  </w:style>
  <w:style w:type="paragraph" w:customStyle="1" w:styleId="tv213">
    <w:name w:val="tv213"/>
    <w:basedOn w:val="Normal"/>
    <w:qFormat/>
    <w:pPr>
      <w:spacing w:before="100" w:beforeAutospacing="1" w:after="100" w:afterAutospacing="1"/>
    </w:pPr>
    <w:rPr>
      <w:lang w:val="en-US"/>
    </w:rPr>
  </w:style>
  <w:style w:type="paragraph" w:customStyle="1" w:styleId="CommentText1">
    <w:name w:val="Comment Text1"/>
    <w:basedOn w:val="Normal"/>
    <w:qFormat/>
    <w:rPr>
      <w:sz w:val="20"/>
      <w:szCs w:val="20"/>
    </w:rPr>
  </w:style>
  <w:style w:type="paragraph" w:customStyle="1" w:styleId="CommentSubject1">
    <w:name w:val="Comment Subject1"/>
    <w:basedOn w:val="CommentText1"/>
    <w:next w:val="CommentText1"/>
    <w:qFormat/>
    <w:rPr>
      <w:b/>
      <w:bCs/>
    </w:rPr>
  </w:style>
  <w:style w:type="character" w:customStyle="1" w:styleId="Komentraatsauce1">
    <w:name w:val="Komentāra atsauce1"/>
    <w:rPr>
      <w:sz w:val="16"/>
      <w:szCs w:val="16"/>
    </w:rPr>
  </w:style>
  <w:style w:type="character" w:styleId="Emphasis">
    <w:name w:val="Emphasis"/>
    <w:rPr>
      <w:i/>
      <w:iCs/>
    </w:rPr>
  </w:style>
  <w:style w:type="character" w:styleId="EndnoteReference">
    <w:name w:val="endnote reference"/>
    <w:rPr>
      <w:vertAlign w:val="superscript"/>
    </w:rPr>
  </w:style>
  <w:style w:type="character" w:styleId="FollowedHyperlink">
    <w:name w:val="FollowedHyperlink"/>
    <w:rPr>
      <w:color w:val="800080"/>
      <w:u w:val="single"/>
    </w:rPr>
  </w:style>
  <w:style w:type="character" w:styleId="FootnoteReference">
    <w:name w:val="footnote reference"/>
    <w:rPr>
      <w:vertAlign w:val="superscript"/>
    </w:rPr>
  </w:style>
  <w:style w:type="character" w:styleId="HTMLAcronym">
    <w:name w:val="HTML Acronym"/>
    <w:basedOn w:val="DefaultParagraphFont"/>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rPr>
      <w:color w:val="0000FF"/>
      <w:u w:val="single"/>
    </w:rPr>
  </w:style>
  <w:style w:type="character" w:styleId="LineNumber">
    <w:name w:val="line number"/>
    <w:basedOn w:val="DefaultParagraphFont"/>
  </w:style>
  <w:style w:type="character" w:styleId="PageNumber">
    <w:name w:val="page number"/>
    <w:basedOn w:val="DefaultParagraphFont"/>
  </w:style>
  <w:style w:type="character" w:styleId="Strong">
    <w:name w:val="Strong"/>
    <w:rPr>
      <w:b/>
      <w:bCs/>
    </w:rPr>
  </w:style>
  <w:style w:type="character" w:customStyle="1" w:styleId="FooterChar">
    <w:name w:val="Footer Char"/>
    <w:rPr>
      <w:sz w:val="24"/>
      <w:szCs w:val="24"/>
    </w:rPr>
  </w:style>
  <w:style w:type="character" w:customStyle="1" w:styleId="Neatrisintapieminana1">
    <w:name w:val="Neatrisināta pieminēšana1"/>
    <w:basedOn w:val="DefaultParagraphFont"/>
    <w:rPr>
      <w:color w:val="605E5C"/>
      <w:shd w:val="clear" w:color="auto" w:fill="E1DFDD"/>
    </w:rPr>
  </w:style>
  <w:style w:type="character" w:customStyle="1" w:styleId="Neatrisintapieminana2">
    <w:name w:val="Neatrisināta pieminēšana2"/>
    <w:basedOn w:val="DefaultParagraphFont"/>
    <w:rPr>
      <w:color w:val="605E5C"/>
      <w:shd w:val="clear" w:color="auto" w:fill="E1DFDD"/>
    </w:rPr>
  </w:style>
  <w:style w:type="table" w:styleId="Table3Deffects1">
    <w:name w:val="Table 3D effects 1"/>
    <w:basedOn w:val="TableNormal"/>
    <w:tblPr/>
    <w:tcPr>
      <w:shd w:val="solid" w:color="C0C0C0" w:fill="auto"/>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Table3Deffects2">
    <w:name w:val="Table 3D effects 2"/>
    <w:basedOn w:val="TableNormal"/>
    <w:tblPr>
      <w:tblStyleRowBandSize w:val="1"/>
    </w:tblPr>
    <w:tcPr>
      <w:shd w:val="solid" w:color="C0C0C0" w:fill="auto"/>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Table3Deffects3">
    <w:name w:val="Table 3D effects 3"/>
    <w:basedOn w:val="TableNormal"/>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tblPr/>
      <w:tcPr>
        <w:shd w:val="solid" w:color="C0C0C0" w:fill="auto"/>
      </w:tcPr>
    </w:tblStylePr>
    <w:tblStylePr w:type="band2Vert">
      <w:tblPr/>
      <w:tcPr>
        <w:shd w:val="solid" w:color="E0E0E0" w:fill="auto"/>
      </w:tcPr>
    </w:tblStylePr>
    <w:tblStylePr w:type="band1Horz">
      <w:tblPr/>
      <w:tcPr>
        <w:tcBorders>
          <w:top w:val="single" w:sz="6" w:space="0" w:color="808080"/>
          <w:bottom w:val="single" w:sz="6" w:space="0" w:color="FFFFFF"/>
        </w:tcBorders>
      </w:tcPr>
    </w:tblStylePr>
    <w:tblStylePr w:type="swCell">
      <w:rPr>
        <w:b/>
        <w:bCs/>
      </w:rPr>
    </w:tblStylePr>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2">
    <w:name w:val="Table Classic 2"/>
    <w:basedOn w:val="TableNormal"/>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auto"/>
      </w:tcPr>
    </w:tblStylePr>
    <w:tblStylePr w:type="lastRow">
      <w:tblPr/>
      <w:tcPr>
        <w:tcBorders>
          <w:top w:val="single" w:sz="6" w:space="0" w:color="000000"/>
        </w:tcBorders>
      </w:tcPr>
    </w:tblStylePr>
    <w:tblStylePr w:type="firstCol">
      <w:rPr>
        <w:b/>
        <w:bCs/>
      </w:rPr>
      <w:tblPr/>
      <w:tcPr>
        <w:shd w:val="solid" w:color="C0C0C0" w:fill="auto"/>
      </w:tcPr>
    </w:tblStylePr>
    <w:tblStylePr w:type="neCell">
      <w:rPr>
        <w:b/>
        <w:bCs/>
      </w:rPr>
    </w:tblStylePr>
    <w:tblStylePr w:type="nwCell">
      <w:tblPr/>
      <w:tcPr>
        <w:shd w:val="solid" w:color="800080" w:fill="auto"/>
      </w:tcPr>
    </w:tblStylePr>
    <w:tblStylePr w:type="swCell">
      <w:rPr>
        <w:color w:val="000080"/>
      </w:rPr>
    </w:tblStylePr>
  </w:style>
  <w:style w:type="table" w:styleId="TableClassic3">
    <w:name w:val="Table Classic 3"/>
    <w:basedOn w:val="TableNormal"/>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auto"/>
    </w:tcPr>
    <w:tblStylePr w:type="firstRow">
      <w:rPr>
        <w:b/>
        <w:bCs/>
        <w:i/>
        <w:iCs/>
        <w:color w:val="FFFFFF"/>
      </w:rPr>
      <w:tblPr/>
      <w:tcPr>
        <w:tcBorders>
          <w:bottom w:val="single" w:sz="6" w:space="0" w:color="000000"/>
        </w:tcBorders>
        <w:shd w:val="solid" w:color="000080" w:fill="auto"/>
      </w:tcPr>
    </w:tblStylePr>
    <w:tblStylePr w:type="lastRow">
      <w:rPr>
        <w:color w:val="000080"/>
      </w:rPr>
      <w:tblPr/>
      <w:tcPr>
        <w:tcBorders>
          <w:top w:val="single" w:sz="12" w:space="0" w:color="000000"/>
        </w:tcBorders>
        <w:shd w:val="solid" w:color="FFFFFF" w:fill="auto"/>
      </w:tcPr>
    </w:tblStylePr>
    <w:tblStylePr w:type="firstCol">
      <w:rPr>
        <w:b/>
        <w:bCs/>
        <w:color w:val="000000"/>
      </w:rPr>
    </w:tblStylePr>
  </w:style>
  <w:style w:type="table" w:styleId="TableClassic4">
    <w:name w:val="Table Classic 4"/>
    <w:basedOn w:val="TableNormal"/>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solid" w:color="8080C0" w:fill="auto"/>
      </w:tcPr>
    </w:tblStylePr>
    <w:tblStylePr w:type="lastRow">
      <w:rPr>
        <w:color w:val="000080"/>
      </w:rPr>
      <w:tblPr/>
      <w:tcPr>
        <w:tcBorders>
          <w:bottom w:val="single" w:sz="6" w:space="0" w:color="000000"/>
        </w:tcBorders>
        <w:shd w:val="solid" w:color="808080" w:fill="auto"/>
      </w:tc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auto"/>
    </w:tcPr>
    <w:tblStylePr w:type="firstRow">
      <w:rPr>
        <w:b/>
        <w:bCs/>
        <w:i/>
        <w:iCs/>
      </w:rPr>
      <w:tblPr/>
      <w:tcPr>
        <w:shd w:val="solid" w:color="000000" w:fill="auto"/>
      </w:tcPr>
    </w:tblStylePr>
    <w:tblStylePr w:type="firstCol">
      <w:rPr>
        <w:b/>
        <w:bCs/>
        <w:i/>
        <w:iCs/>
      </w:rPr>
      <w:tblPr/>
      <w:tcPr>
        <w:shd w:val="solid" w:color="000080" w:fill="auto"/>
      </w:tcPr>
    </w:tblStylePr>
    <w:tblStylePr w:type="nwCell">
      <w:tblPr/>
      <w:tcPr>
        <w:shd w:val="solid" w:color="000000" w:fill="auto"/>
      </w:tcPr>
    </w:tblStylePr>
    <w:tblStylePr w:type="swCell">
      <w:rPr>
        <w:b/>
        <w:bCs/>
        <w:i w:val="0"/>
        <w:iCs w:val="0"/>
      </w:rPr>
    </w:tblStylePr>
  </w:style>
  <w:style w:type="table" w:styleId="TableColorful2">
    <w:name w:val="Table Colorful 2"/>
    <w:basedOn w:val="TableNormal"/>
    <w:tblPr>
      <w:tblBorders>
        <w:bottom w:val="single" w:sz="12" w:space="0" w:color="000000"/>
      </w:tblBorders>
    </w:tblPr>
    <w:tcPr>
      <w:shd w:val="solid" w:color="FFFFCC" w:fill="auto"/>
    </w:tcPr>
    <w:tblStylePr w:type="firstRow">
      <w:rPr>
        <w:b/>
        <w:bCs/>
        <w:i/>
        <w:iCs/>
        <w:color w:val="FFFFFF"/>
      </w:rPr>
      <w:tblPr/>
      <w:tcPr>
        <w:tcBorders>
          <w:bottom w:val="single" w:sz="12" w:space="0" w:color="000000"/>
        </w:tcBorders>
        <w:shd w:val="solid" w:color="800000" w:fill="auto"/>
      </w:tcPr>
    </w:tblStylePr>
    <w:tblStylePr w:type="firstCol">
      <w:rPr>
        <w:b/>
        <w:bCs/>
        <w:i/>
        <w:iCs/>
      </w:rPr>
    </w:tblStylePr>
    <w:tblStylePr w:type="lastCol">
      <w:tblPr/>
      <w:tcPr>
        <w:shd w:val="solid" w:color="C0C0C0" w:fill="auto"/>
      </w:tcPr>
    </w:tblStylePr>
    <w:tblStylePr w:type="swCell">
      <w:rPr>
        <w:b/>
        <w:bCs/>
        <w:i w:val="0"/>
        <w:iCs w:val="0"/>
      </w:rPr>
    </w:tblStylePr>
  </w:style>
  <w:style w:type="table" w:styleId="TableColorful3">
    <w:name w:val="Table Colorful 3"/>
    <w:basedOn w:val="TableNormal"/>
    <w:tblPr>
      <w:tblBorders>
        <w:top w:val="single" w:sz="18" w:space="0" w:color="000000"/>
        <w:left w:val="single" w:sz="18" w:space="0" w:color="000000"/>
        <w:bottom w:val="single" w:sz="18" w:space="0" w:color="000000"/>
        <w:right w:val="single" w:sz="18" w:space="0" w:color="000000"/>
        <w:insideH w:val="single" w:sz="6" w:space="0" w:color="C0C0C0"/>
      </w:tblBorders>
    </w:tblPr>
    <w:tcPr>
      <w:shd w:val="solid" w:color="BFDFDF" w:fill="auto"/>
    </w:tcPr>
    <w:tblStylePr w:type="firstRow">
      <w:tblPr/>
      <w:tcPr>
        <w:tcBorders>
          <w:bottom w:val="single" w:sz="6" w:space="0" w:color="000000"/>
        </w:tcBorders>
        <w:shd w:val="solid" w:color="008080" w:fill="auto"/>
      </w:tcPr>
    </w:tblStylePr>
    <w:tblStylePr w:type="firstCol">
      <w:tblPr/>
      <w:tcPr>
        <w:tcBorders>
          <w:left w:val="single" w:sz="36" w:space="0" w:color="000000"/>
          <w:right w:val="single" w:sz="6" w:space="0" w:color="000000"/>
        </w:tcBorders>
        <w:shd w:val="solid" w:color="008080" w:fill="auto"/>
      </w:tcPr>
    </w:tblStylePr>
    <w:tblStylePr w:type="nwCell">
      <w:rPr>
        <w:b/>
        <w:bCs/>
        <w:color w:val="FFFFFF"/>
      </w:rPr>
      <w:tblPr/>
      <w:tcPr>
        <w:shd w:val="solid" w:color="000000" w:fill="auto"/>
      </w:tcPr>
    </w:tblStylePr>
  </w:style>
  <w:style w:type="table" w:styleId="TableColumns1">
    <w:name w:val="Table Columns 1"/>
    <w:basedOn w:val="TableNormal"/>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tblPr/>
      <w:tcPr>
        <w:tcBorders>
          <w:bottom w:val="double" w:sz="18" w:space="0" w:color="000000"/>
        </w:tcBorders>
      </w:tcPr>
    </w:tblStylePr>
    <w:tblStylePr w:type="band1Vert">
      <w:tblPr/>
      <w:tcPr>
        <w:shd w:val="solid" w:color="BFBFBF" w:fill="auto"/>
      </w:tcPr>
    </w:tblStylePr>
    <w:tblStylePr w:type="band2Vert">
      <w:tblPr/>
      <w:tcPr>
        <w:shd w:val="solid" w:color="FFFFBF" w:fill="auto"/>
      </w:tcPr>
    </w:tblStylePr>
    <w:tblStylePr w:type="neCell">
      <w:rPr>
        <w:b/>
        <w:bCs/>
      </w:rPr>
    </w:tblStylePr>
    <w:tblStylePr w:type="swCell">
      <w:rPr>
        <w:b/>
        <w:bCs/>
      </w:rPr>
    </w:tblStylePr>
  </w:style>
  <w:style w:type="table" w:styleId="TableColumns2">
    <w:name w:val="Table Columns 2"/>
    <w:basedOn w:val="TableNormal"/>
    <w:rPr>
      <w:b/>
      <w:bCs/>
    </w:rPr>
    <w:tblPr>
      <w:tblStyleColBandSize w:val="1"/>
    </w:tblPr>
    <w:tblStylePr w:type="firstRow">
      <w:rPr>
        <w:color w:val="FFFFFF"/>
      </w:rPr>
      <w:tblPr/>
      <w:tcPr>
        <w:shd w:val="solid" w:color="000080" w:fill="auto"/>
      </w:tcPr>
    </w:tblStylePr>
    <w:tblStylePr w:type="firstCol">
      <w:rPr>
        <w:b w:val="0"/>
        <w:bCs w:val="0"/>
        <w:color w:val="000000"/>
      </w:rPr>
    </w:tblStylePr>
    <w:tblStylePr w:type="band1Vert">
      <w:tblPr/>
      <w:tcPr>
        <w:shd w:val="solid" w:color="B3B3B3" w:fill="auto"/>
      </w:tcPr>
    </w:tblStylePr>
    <w:tblStylePr w:type="band2Vert">
      <w:tblPr/>
      <w:tcPr>
        <w:shd w:val="solid" w:color="BFFFBF" w:fill="auto"/>
      </w:tcPr>
    </w:tblStylePr>
    <w:tblStylePr w:type="neCell">
      <w:rPr>
        <w:b/>
        <w:bCs/>
      </w:rPr>
    </w:tblStylePr>
    <w:tblStylePr w:type="swCell">
      <w:rPr>
        <w:b/>
        <w:bCs/>
      </w:rPr>
    </w:tblStylePr>
  </w:style>
  <w:style w:type="table" w:styleId="TableColumns3">
    <w:name w:val="Table Columns 3"/>
    <w:basedOn w:val="TableNormal"/>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auto"/>
      </w:tcPr>
    </w:tblStylePr>
    <w:tblStylePr w:type="lastRow">
      <w:tblPr/>
      <w:tcPr>
        <w:tcBorders>
          <w:top w:val="single" w:sz="6" w:space="0" w:color="000080"/>
        </w:tcBorders>
      </w:tcPr>
    </w:tblStylePr>
    <w:tblStylePr w:type="band1Vert">
      <w:tblPr/>
      <w:tcPr>
        <w:shd w:val="solid" w:color="C0C0C0" w:fill="auto"/>
      </w:tcPr>
    </w:tblStylePr>
    <w:tblStylePr w:type="band2Vert">
      <w:tblPr/>
      <w:tcPr>
        <w:shd w:val="solid" w:color="E6E6E6" w:fill="auto"/>
      </w:tcPr>
    </w:tblStylePr>
    <w:tblStylePr w:type="neCell">
      <w:rPr>
        <w:b/>
        <w:bCs/>
      </w:rPr>
    </w:tblStylePr>
  </w:style>
  <w:style w:type="table" w:styleId="TableColumns4">
    <w:name w:val="Table Columns 4"/>
    <w:basedOn w:val="TableNormal"/>
    <w:tblPr>
      <w:tblStyleColBandSize w:val="1"/>
    </w:tblPr>
    <w:tblStylePr w:type="firstRow">
      <w:rPr>
        <w:color w:val="FFFFFF"/>
      </w:rPr>
      <w:tblPr/>
      <w:tcPr>
        <w:shd w:val="solid" w:color="000000" w:fill="auto"/>
      </w:tcPr>
    </w:tblStylePr>
    <w:tblStylePr w:type="lastRow">
      <w:rPr>
        <w:b/>
        <w:bCs/>
      </w:rPr>
    </w:tblStylePr>
    <w:tblStylePr w:type="lastCol">
      <w:rPr>
        <w:b/>
        <w:bCs/>
      </w:rPr>
    </w:tblStylePr>
    <w:tblStylePr w:type="band1Vert">
      <w:tblPr/>
      <w:tcPr>
        <w:shd w:val="solid" w:color="80C0C0" w:fill="auto"/>
      </w:tcPr>
    </w:tblStylePr>
    <w:tblStylePr w:type="band2Vert">
      <w:tblPr/>
      <w:tcPr>
        <w:shd w:val="solid" w:color="E6E6E6" w:fill="auto"/>
      </w:tcPr>
    </w:tblStylePr>
  </w:style>
  <w:style w:type="table" w:styleId="TableColumns5">
    <w:name w:val="Table Columns 5"/>
    <w:basedOn w:val="TableNormal"/>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tblPr/>
      <w:tcPr>
        <w:shd w:val="solid" w:color="C0C0C0" w:fill="auto"/>
      </w:tcPr>
    </w:tblStylePr>
  </w:style>
  <w:style w:type="table" w:styleId="TableContemporary">
    <w:name w:val="Table Contemporary"/>
    <w:basedOn w:val="TableNormal"/>
    <w:tblPr>
      <w:tblStyleRowBandSize w:val="1"/>
      <w:tblBorders>
        <w:insideH w:val="single" w:sz="18" w:space="0" w:color="FFFFFF"/>
        <w:insideV w:val="single" w:sz="18" w:space="0" w:color="FFFFFF"/>
      </w:tblBorders>
    </w:tblPr>
    <w:tblStylePr w:type="firstRow">
      <w:rPr>
        <w:b/>
        <w:bCs/>
        <w:color w:val="auto"/>
      </w:rPr>
      <w:tblPr/>
      <w:tcPr>
        <w:shd w:val="solid" w:color="CCCCCC" w:fill="auto"/>
      </w:tcPr>
    </w:tblStylePr>
    <w:tblStylePr w:type="band1Horz">
      <w:tblPr/>
      <w:tcPr>
        <w:shd w:val="solid" w:color="F2F2F2" w:fill="auto"/>
      </w:tcPr>
    </w:tblStylePr>
    <w:tblStylePr w:type="band2Horz">
      <w:tblPr/>
      <w:tcPr>
        <w:shd w:val="solid" w:color="CCCCCC" w:fill="auto"/>
      </w:tcPr>
    </w:tblStylePr>
  </w:style>
  <w:style w:type="table" w:styleId="TableElegant">
    <w:name w:val="Table Elegant"/>
    <w:basedOn w:val="TableNormal"/>
    <w:tblPr>
      <w:tblBorders>
        <w:top w:val="double" w:sz="18" w:space="0" w:color="000000"/>
        <w:left w:val="double" w:sz="18" w:space="0" w:color="000000"/>
        <w:bottom w:val="double" w:sz="18" w:space="0" w:color="000000"/>
        <w:right w:val="double" w:sz="18"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1">
    <w:name w:val="Table Grid 1"/>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TableGrid2">
    <w:name w:val="Table Grid 2"/>
    <w:basedOn w:val="TableNormal"/>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leGrid3">
    <w:name w:val="Table Grid 3"/>
    <w:basedOn w:val="TableNormal"/>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solid" w:color="FFFFB3" w:fill="auto"/>
      </w:tcPr>
    </w:tblStylePr>
    <w:tblStylePr w:type="lastRow">
      <w:rPr>
        <w:b/>
        <w:bCs/>
      </w:rPr>
    </w:tblStylePr>
    <w:tblStylePr w:type="lastCol">
      <w:rPr>
        <w:b/>
        <w:bCs/>
      </w:rPr>
    </w:tblStylePr>
  </w:style>
  <w:style w:type="table" w:styleId="TableGrid4">
    <w:name w:val="Table Grid 4"/>
    <w:basedOn w:val="TableNormal"/>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6" w:space="0" w:color="000000"/>
        </w:tcBorders>
        <w:shd w:val="solid" w:color="FFFFB3" w:fill="auto"/>
      </w:tcPr>
    </w:tblStylePr>
    <w:tblStylePr w:type="lastRow">
      <w:rPr>
        <w:b/>
        <w:bCs/>
        <w:color w:val="auto"/>
      </w:rPr>
      <w:tblPr/>
      <w:tcPr>
        <w:tcBorders>
          <w:top w:val="single" w:sz="6" w:space="0" w:color="000000"/>
        </w:tcBorders>
        <w:shd w:val="solid" w:color="FFFFB3" w:fill="auto"/>
      </w:tcPr>
    </w:tblStylePr>
    <w:tblStylePr w:type="lastCol">
      <w:rPr>
        <w:b/>
        <w:bCs/>
        <w:color w:val="auto"/>
      </w:rPr>
    </w:tblStylePr>
  </w:style>
  <w:style w:type="table" w:styleId="TableGrid5">
    <w:name w:val="Table Grid 5"/>
    <w:basedOn w:val="TableNormal"/>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TableGrid6">
    <w:name w:val="Table Grid 6"/>
    <w:basedOn w:val="TableNormal"/>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TableGrid7">
    <w:name w:val="Table Grid 7"/>
    <w:basedOn w:val="TableNormal"/>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tblPr/>
      <w:tcPr>
        <w:tcBorders>
          <w:top w:val="single" w:sz="6" w:space="0" w:color="000000"/>
        </w:tcBorders>
      </w:tcPr>
    </w:tblStylePr>
    <w:tblStylePr w:type="nwCell">
      <w:tblPr/>
      <w:tcPr>
        <w:tcBorders>
          <w:tl2br w:val="single" w:sz="6" w:space="0" w:color="000000"/>
        </w:tcBorders>
      </w:tcPr>
    </w:tblStylePr>
  </w:style>
  <w:style w:type="table" w:styleId="TableGrid8">
    <w:name w:val="Table Grid 8"/>
    <w:basedOn w:val="TableNormal"/>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auto"/>
      </w:tcPr>
    </w:tblStylePr>
    <w:tblStylePr w:type="lastRow">
      <w:rPr>
        <w:b/>
        <w:bCs/>
        <w:color w:val="auto"/>
      </w:rPr>
    </w:tblStylePr>
    <w:tblStylePr w:type="lastCol">
      <w:rPr>
        <w:b/>
        <w:bCs/>
        <w:color w:val="auto"/>
      </w:rPr>
    </w:tblStylePr>
  </w:style>
  <w:style w:type="table" w:styleId="TableList1">
    <w:name w:val="Table List 1"/>
    <w:basedOn w:val="TableNormal"/>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auto"/>
      </w:tcPr>
    </w:tblStylePr>
    <w:tblStylePr w:type="lastRow">
      <w:tblPr/>
      <w:tcPr>
        <w:tcBorders>
          <w:top w:val="single" w:sz="6" w:space="0" w:color="000000"/>
        </w:tcBorders>
      </w:tcPr>
    </w:tblStylePr>
    <w:tblStylePr w:type="band1Horz">
      <w:tblPr/>
      <w:tcPr>
        <w:shd w:val="solid" w:color="C0C0C0" w:fill="auto"/>
      </w:tcPr>
    </w:tblStylePr>
    <w:tblStylePr w:type="swCell">
      <w:rPr>
        <w:b/>
        <w:bCs/>
      </w:rPr>
    </w:tblStylePr>
  </w:style>
  <w:style w:type="table" w:styleId="TableList2">
    <w:name w:val="Table List 2"/>
    <w:basedOn w:val="TableNormal"/>
    <w:tblPr>
      <w:tblStyleRowBandSize w:val="2"/>
      <w:tblBorders>
        <w:bottom w:val="single" w:sz="12" w:space="0" w:color="808080"/>
      </w:tblBorders>
    </w:tblPr>
    <w:tblStylePr w:type="firstRow">
      <w:rPr>
        <w:b/>
        <w:bCs/>
        <w:color w:val="FFFFFF"/>
      </w:rPr>
      <w:tblPr/>
      <w:tcPr>
        <w:tcBorders>
          <w:bottom w:val="single" w:sz="6" w:space="0" w:color="000000"/>
        </w:tcBorders>
        <w:shd w:val="solid" w:color="008060" w:fill="auto"/>
      </w:tcPr>
    </w:tblStylePr>
    <w:tblStylePr w:type="lastRow">
      <w:tblPr/>
      <w:tcPr>
        <w:tcBorders>
          <w:top w:val="single" w:sz="6" w:space="0" w:color="000000"/>
        </w:tcBorders>
      </w:tcPr>
    </w:tblStylePr>
    <w:tblStylePr w:type="band1Horz">
      <w:tblPr/>
      <w:tcPr>
        <w:shd w:val="solid" w:color="CCFFCC" w:fill="auto"/>
      </w:tcPr>
    </w:tblStylePr>
    <w:tblStylePr w:type="swCell">
      <w:rPr>
        <w:b/>
        <w:bCs/>
      </w:rPr>
    </w:tblStylePr>
  </w:style>
  <w:style w:type="table" w:styleId="TableList3">
    <w:name w:val="Table List 3"/>
    <w:basedOn w:val="TableNormal"/>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leList4">
    <w:name w:val="Table List 4"/>
    <w:basedOn w:val="TableNormal"/>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auto"/>
      </w:tcPr>
    </w:tblStylePr>
  </w:style>
  <w:style w:type="table" w:styleId="TableList5">
    <w:name w:val="Table List 5"/>
    <w:basedOn w:val="TableNormal"/>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leList6">
    <w:name w:val="Table List 6"/>
    <w:basedOn w:val="TableNormal"/>
    <w:tblPr>
      <w:tblStyleRowBandSize w:val="1"/>
      <w:tblBorders>
        <w:top w:val="single" w:sz="6" w:space="0" w:color="000000"/>
        <w:left w:val="single" w:sz="6" w:space="0" w:color="000000"/>
        <w:bottom w:val="single" w:sz="6" w:space="0" w:color="000000"/>
        <w:right w:val="single" w:sz="6" w:space="0" w:color="000000"/>
      </w:tblBorders>
    </w:tblPr>
    <w:tcPr>
      <w:shd w:val="solid" w:color="808080" w:fill="auto"/>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solid" w:color="BFBFBF" w:fill="auto"/>
      </w:tcPr>
    </w:tblStylePr>
  </w:style>
  <w:style w:type="table" w:styleId="TableList7">
    <w:name w:val="Table List 7"/>
    <w:basedOn w:val="TableNormal"/>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auto"/>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tblPr/>
      <w:tcPr>
        <w:shd w:val="solid" w:color="CCCCCC" w:fill="auto"/>
      </w:tcPr>
    </w:tblStylePr>
    <w:tblStylePr w:type="band2Horz">
      <w:tblPr/>
      <w:tcPr>
        <w:shd w:val="solid" w:color="FFFFBF" w:fill="auto"/>
      </w:tcPr>
    </w:tblStylePr>
  </w:style>
  <w:style w:type="table" w:styleId="TableList8">
    <w:name w:val="Table List 8"/>
    <w:basedOn w:val="TableNormal"/>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auto"/>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tblPr/>
      <w:tcPr>
        <w:shd w:val="solid" w:color="FFFFBF" w:fill="auto"/>
      </w:tcPr>
    </w:tblStylePr>
    <w:tblStylePr w:type="band2Horz">
      <w:tblPr/>
      <w:tcPr>
        <w:shd w:val="solid" w:color="FF8080" w:fill="auto"/>
      </w:tcPr>
    </w:tblStylePr>
  </w:style>
  <w:style w:type="table" w:styleId="TableProfessional">
    <w:name w:val="Table Professional"/>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auto"/>
      </w:tcPr>
    </w:tblStylePr>
  </w:style>
  <w:style w:type="table" w:styleId="TableSimple1">
    <w:name w:val="Table Simple 1"/>
    <w:basedOn w:val="TableNormal"/>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TableSimple3">
    <w:name w:val="Table Simple 3"/>
    <w:basedOn w:val="TableNormal"/>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auto"/>
      </w:tcPr>
    </w:tblStylePr>
  </w:style>
  <w:style w:type="table" w:styleId="TableSubtle1">
    <w:name w:val="Table Subtle 1"/>
    <w:basedOn w:val="TableNormal"/>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solid" w:color="DFBFDF" w:fill="auto"/>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solid" w:color="DFDFBF" w:fill="auto"/>
      </w:tcPr>
    </w:tblStylePr>
    <w:tblStylePr w:type="neCell">
      <w:rPr>
        <w:b/>
        <w:bCs/>
      </w:rPr>
    </w:tblStylePr>
    <w:tblStylePr w:type="swCell">
      <w:rPr>
        <w:b/>
        <w:bCs/>
      </w:rPr>
    </w:tblStylePr>
  </w:style>
  <w:style w:type="table" w:styleId="TableSubtle2">
    <w:name w:val="Table Subtle 2"/>
    <w:basedOn w:val="TableNormal"/>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solid" w:color="BFDFBF" w:fill="auto"/>
      </w:tcPr>
    </w:tblStylePr>
    <w:tblStylePr w:type="lastCol">
      <w:tblPr/>
      <w:tcPr>
        <w:tcBorders>
          <w:left w:val="single" w:sz="12" w:space="0" w:color="000000"/>
        </w:tcBorders>
        <w:shd w:val="solid" w:color="DFDFBF" w:fill="auto"/>
      </w:tcPr>
    </w:tblStylePr>
    <w:tblStylePr w:type="neCell">
      <w:rPr>
        <w:b/>
        <w:bCs/>
      </w:rPr>
    </w:tblStylePr>
    <w:tblStylePr w:type="swCell">
      <w:rPr>
        <w:b/>
        <w:bCs/>
      </w:rPr>
    </w:tblStylePr>
  </w:style>
  <w:style w:type="table" w:styleId="TableTheme">
    <w:name w:val="Table Theme"/>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Web1">
    <w:name w:val="Table Web 1"/>
    <w:basedOn w:val="TableNormal"/>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style>
  <w:style w:type="table" w:styleId="TableWeb2">
    <w:name w:val="Table Web 2"/>
    <w:basedOn w:val="TableNormal"/>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style>
  <w:style w:type="table" w:styleId="TableWeb3">
    <w:name w:val="Table Web 3"/>
    <w:basedOn w:val="TableNormal"/>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cPr>
      <w:shd w:val="clear" w:color="auto" w:fill="auto"/>
    </w:tc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rPr>
      <w:lang w:val="lv-LV"/>
    </w:rPr>
  </w:style>
  <w:style w:type="character" w:styleId="CommentReference">
    <w:name w:val="annotation reference"/>
    <w:basedOn w:val="DefaultParagraphFont"/>
    <w:uiPriority w:val="9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leea.lv/index.htm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info@bleea.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leea.lv/index.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mailto:info@bleea.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Times New Roman"/>
        <a:cs typeface="Arial"/>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3313</Words>
  <Characters>1889</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Inese Karpoviča</cp:lastModifiedBy>
  <cp:revision>2</cp:revision>
  <cp:lastPrinted>2020-01-06T13:57:00Z</cp:lastPrinted>
  <dcterms:created xsi:type="dcterms:W3CDTF">2021-12-03T11:22:00Z</dcterms:created>
  <dcterms:modified xsi:type="dcterms:W3CDTF">2021-12-03T11:22:00Z</dcterms:modified>
</cp:coreProperties>
</file>