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67DDCC" w14:textId="50456329" w:rsidR="00470F6D" w:rsidRDefault="00470F6D" w:rsidP="00470F6D">
      <w:pPr>
        <w:spacing w:before="240" w:after="240"/>
        <w:rPr>
          <w:b/>
          <w:sz w:val="28"/>
        </w:rPr>
      </w:pPr>
      <w:r>
        <w:rPr>
          <w:b/>
          <w:sz w:val="28"/>
        </w:rPr>
        <w:t>26-TA-74</w:t>
      </w:r>
      <w:r w:rsidR="00B9121D">
        <w:rPr>
          <w:b/>
          <w:sz w:val="28"/>
        </w:rPr>
        <w:t>6</w:t>
      </w:r>
      <w:r>
        <w:rPr>
          <w:b/>
          <w:sz w:val="28"/>
        </w:rPr>
        <w:t>: Likumprojekts (Grozījumi)</w:t>
      </w:r>
    </w:p>
    <w:p w14:paraId="24B4BB18" w14:textId="50BF8D53" w:rsidR="00470F6D" w:rsidRDefault="00470F6D" w:rsidP="00470F6D">
      <w:pPr>
        <w:pStyle w:val="titleparagraph"/>
        <w:contextualSpacing w:val="0"/>
      </w:pPr>
      <w:r>
        <w:t>Grozījumi</w:t>
      </w:r>
      <w:r w:rsidR="00B9121D">
        <w:t xml:space="preserve"> </w:t>
      </w:r>
      <w:r w:rsidR="00B9121D" w:rsidRPr="00B9121D">
        <w:t xml:space="preserve">Preču un pakalpojumu piekļūstamības </w:t>
      </w:r>
      <w:r>
        <w:t>likumā</w:t>
      </w:r>
    </w:p>
    <w:p w14:paraId="0DE7E459" w14:textId="1C647133" w:rsidR="00293D94" w:rsidRPr="00293D94" w:rsidRDefault="00293D94" w:rsidP="00293D94">
      <w:r>
        <w:t>Iebildumi, kas iesniegti Finanšu ministrijai ārpus TAP</w:t>
      </w:r>
    </w:p>
    <w:tbl>
      <w:tblPr>
        <w:tblW w:w="14857" w:type="dxa"/>
        <w:tblInd w:w="-290"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710"/>
        <w:gridCol w:w="1842"/>
        <w:gridCol w:w="4536"/>
        <w:gridCol w:w="4820"/>
        <w:gridCol w:w="2949"/>
      </w:tblGrid>
      <w:tr w:rsidR="00470F6D" w14:paraId="2762B0A5" w14:textId="77777777" w:rsidTr="00360B15">
        <w:tc>
          <w:tcPr>
            <w:tcW w:w="710" w:type="dxa"/>
            <w:shd w:val="clear" w:color="auto" w:fill="FFFFFF"/>
            <w:noWrap/>
            <w:tcMar>
              <w:top w:w="75" w:type="dxa"/>
              <w:left w:w="75" w:type="dxa"/>
              <w:bottom w:w="75" w:type="dxa"/>
              <w:right w:w="75" w:type="dxa"/>
            </w:tcMar>
            <w:vAlign w:val="center"/>
          </w:tcPr>
          <w:p w14:paraId="447A5558" w14:textId="77777777" w:rsidR="00470F6D" w:rsidRDefault="00470F6D" w:rsidP="00360B15">
            <w:pPr>
              <w:jc w:val="center"/>
              <w:rPr>
                <w:b/>
              </w:rPr>
            </w:pPr>
            <w:r>
              <w:rPr>
                <w:b/>
              </w:rPr>
              <w:t>Nr.p.k.</w:t>
            </w:r>
          </w:p>
        </w:tc>
        <w:tc>
          <w:tcPr>
            <w:tcW w:w="1842" w:type="dxa"/>
            <w:shd w:val="clear" w:color="auto" w:fill="FFFFFF"/>
            <w:noWrap/>
            <w:tcMar>
              <w:top w:w="75" w:type="dxa"/>
              <w:left w:w="75" w:type="dxa"/>
              <w:bottom w:w="75" w:type="dxa"/>
              <w:right w:w="75" w:type="dxa"/>
            </w:tcMar>
            <w:vAlign w:val="center"/>
          </w:tcPr>
          <w:p w14:paraId="2428F1B4" w14:textId="77777777" w:rsidR="00470F6D" w:rsidRDefault="00470F6D" w:rsidP="00360B15">
            <w:pPr>
              <w:jc w:val="center"/>
              <w:rPr>
                <w:b/>
              </w:rPr>
            </w:pPr>
            <w:r>
              <w:rPr>
                <w:b/>
              </w:rPr>
              <w:t>Saskaņošanai nosūtītā projekta redakcija</w:t>
            </w:r>
          </w:p>
        </w:tc>
        <w:tc>
          <w:tcPr>
            <w:tcW w:w="4536" w:type="dxa"/>
            <w:shd w:val="clear" w:color="auto" w:fill="FFFFFF"/>
            <w:noWrap/>
            <w:tcMar>
              <w:top w:w="75" w:type="dxa"/>
              <w:left w:w="75" w:type="dxa"/>
              <w:bottom w:w="75" w:type="dxa"/>
              <w:right w:w="75" w:type="dxa"/>
            </w:tcMar>
            <w:vAlign w:val="center"/>
          </w:tcPr>
          <w:p w14:paraId="64175D37" w14:textId="77777777" w:rsidR="00470F6D" w:rsidRDefault="00470F6D" w:rsidP="00360B15">
            <w:pPr>
              <w:jc w:val="center"/>
              <w:rPr>
                <w:b/>
              </w:rPr>
            </w:pPr>
            <w:r>
              <w:rPr>
                <w:b/>
              </w:rPr>
              <w:t>Iebildums / Priekšlikums</w:t>
            </w:r>
          </w:p>
          <w:p w14:paraId="51CD4CF9" w14:textId="0C6225D5" w:rsidR="00762B06" w:rsidRDefault="00762B06" w:rsidP="00360B15">
            <w:pPr>
              <w:jc w:val="center"/>
              <w:rPr>
                <w:b/>
              </w:rPr>
            </w:pPr>
          </w:p>
        </w:tc>
        <w:tc>
          <w:tcPr>
            <w:tcW w:w="4820" w:type="dxa"/>
            <w:shd w:val="clear" w:color="auto" w:fill="FFFFFF"/>
            <w:noWrap/>
            <w:tcMar>
              <w:top w:w="75" w:type="dxa"/>
              <w:left w:w="75" w:type="dxa"/>
              <w:bottom w:w="75" w:type="dxa"/>
              <w:right w:w="75" w:type="dxa"/>
            </w:tcMar>
            <w:vAlign w:val="center"/>
          </w:tcPr>
          <w:p w14:paraId="4C0ECA57" w14:textId="77777777" w:rsidR="00470F6D" w:rsidRDefault="00470F6D" w:rsidP="00360B15">
            <w:pPr>
              <w:jc w:val="center"/>
              <w:rPr>
                <w:b/>
              </w:rPr>
            </w:pPr>
            <w:r>
              <w:rPr>
                <w:b/>
              </w:rPr>
              <w:t>Apstrādes informācija</w:t>
            </w:r>
          </w:p>
        </w:tc>
        <w:tc>
          <w:tcPr>
            <w:tcW w:w="2949" w:type="dxa"/>
            <w:shd w:val="clear" w:color="auto" w:fill="FFFFFF"/>
            <w:noWrap/>
            <w:tcMar>
              <w:top w:w="75" w:type="dxa"/>
              <w:left w:w="75" w:type="dxa"/>
              <w:bottom w:w="75" w:type="dxa"/>
              <w:right w:w="75" w:type="dxa"/>
            </w:tcMar>
            <w:vAlign w:val="center"/>
          </w:tcPr>
          <w:p w14:paraId="6E755C4C" w14:textId="77777777" w:rsidR="00470F6D" w:rsidRDefault="00470F6D" w:rsidP="00360B15">
            <w:pPr>
              <w:jc w:val="center"/>
              <w:rPr>
                <w:b/>
              </w:rPr>
            </w:pPr>
            <w:r>
              <w:rPr>
                <w:b/>
              </w:rPr>
              <w:t>Galīgā redakcija</w:t>
            </w:r>
          </w:p>
        </w:tc>
      </w:tr>
      <w:tr w:rsidR="00470F6D" w14:paraId="1F9D148B" w14:textId="77777777" w:rsidTr="00360B15">
        <w:tc>
          <w:tcPr>
            <w:tcW w:w="14857" w:type="dxa"/>
            <w:gridSpan w:val="5"/>
            <w:shd w:val="clear" w:color="auto" w:fill="FFFFFF"/>
            <w:noWrap/>
            <w:tcMar>
              <w:top w:w="75" w:type="dxa"/>
              <w:left w:w="75" w:type="dxa"/>
              <w:bottom w:w="75" w:type="dxa"/>
              <w:right w:w="75" w:type="dxa"/>
            </w:tcMar>
            <w:vAlign w:val="center"/>
          </w:tcPr>
          <w:p w14:paraId="101F661D" w14:textId="77777777" w:rsidR="00470F6D" w:rsidRDefault="00470F6D" w:rsidP="00360B15">
            <w:r>
              <w:rPr>
                <w:b/>
              </w:rPr>
              <w:t>Izsludināšana: 02.04.2026. 14:30</w:t>
            </w:r>
          </w:p>
        </w:tc>
      </w:tr>
      <w:tr w:rsidR="00470F6D" w14:paraId="4CABF7B8" w14:textId="77777777" w:rsidTr="00360B15">
        <w:tc>
          <w:tcPr>
            <w:tcW w:w="710" w:type="dxa"/>
            <w:shd w:val="clear" w:color="auto" w:fill="FFFFFF"/>
            <w:noWrap/>
            <w:tcMar>
              <w:top w:w="75" w:type="dxa"/>
              <w:left w:w="75" w:type="dxa"/>
              <w:bottom w:w="75" w:type="dxa"/>
              <w:right w:w="75" w:type="dxa"/>
            </w:tcMar>
          </w:tcPr>
          <w:p w14:paraId="6829E033" w14:textId="77777777" w:rsidR="00470F6D" w:rsidRDefault="00470F6D" w:rsidP="00360B15">
            <w:r>
              <w:t>1.</w:t>
            </w:r>
          </w:p>
        </w:tc>
        <w:tc>
          <w:tcPr>
            <w:tcW w:w="1842" w:type="dxa"/>
            <w:shd w:val="clear" w:color="auto" w:fill="FFFFFF"/>
            <w:noWrap/>
            <w:tcMar>
              <w:top w:w="75" w:type="dxa"/>
              <w:left w:w="75" w:type="dxa"/>
              <w:bottom w:w="75" w:type="dxa"/>
              <w:right w:w="75" w:type="dxa"/>
            </w:tcMar>
          </w:tcPr>
          <w:p w14:paraId="298AFE36" w14:textId="77777777" w:rsidR="00470F6D" w:rsidRDefault="00470F6D" w:rsidP="00360B15">
            <w:pPr>
              <w:spacing w:after="240"/>
              <w:rPr>
                <w:b/>
              </w:rPr>
            </w:pPr>
            <w:r>
              <w:rPr>
                <w:b/>
              </w:rPr>
              <w:t>Likumprojekts (grozījumi)</w:t>
            </w:r>
          </w:p>
          <w:p w14:paraId="544736DB" w14:textId="1B4F05B7" w:rsidR="00470F6D" w:rsidRDefault="00470F6D" w:rsidP="00360B15">
            <w:r>
              <w:t xml:space="preserve">Grozījumi </w:t>
            </w:r>
            <w:r w:rsidR="00B9121D" w:rsidRPr="00B9121D">
              <w:t xml:space="preserve">Preču un pakalpojumu piekļūstamības </w:t>
            </w:r>
            <w:r>
              <w:t>likumā</w:t>
            </w:r>
          </w:p>
        </w:tc>
        <w:tc>
          <w:tcPr>
            <w:tcW w:w="4536" w:type="dxa"/>
            <w:shd w:val="clear" w:color="auto" w:fill="FFFFFF"/>
            <w:noWrap/>
            <w:tcMar>
              <w:top w:w="75" w:type="dxa"/>
              <w:left w:w="75" w:type="dxa"/>
              <w:bottom w:w="75" w:type="dxa"/>
              <w:right w:w="75" w:type="dxa"/>
            </w:tcMar>
          </w:tcPr>
          <w:p w14:paraId="47793DF4" w14:textId="77777777" w:rsidR="00B9121D" w:rsidRPr="00293D94" w:rsidRDefault="00B9121D" w:rsidP="00B9121D">
            <w:pPr>
              <w:spacing w:after="240"/>
              <w:rPr>
                <w:b/>
              </w:rPr>
            </w:pPr>
            <w:r w:rsidRPr="00434067">
              <w:rPr>
                <w:b/>
              </w:rPr>
              <w:t xml:space="preserve">Iebildums </w:t>
            </w:r>
            <w:r w:rsidRPr="00293D94">
              <w:rPr>
                <w:b/>
              </w:rPr>
              <w:t>(SIA “Credit Solutions”– 20.04.2026)</w:t>
            </w:r>
          </w:p>
          <w:p w14:paraId="5A76C209" w14:textId="77777777" w:rsidR="00B9121D" w:rsidRPr="00B9121D" w:rsidRDefault="00B9121D" w:rsidP="00B9121D">
            <w:pPr>
              <w:spacing w:after="240"/>
            </w:pPr>
            <w:r w:rsidRPr="00B9121D">
              <w:t xml:space="preserve">SIA “Credit Solutions” (turpmāk – Sabiedrība) ir iepazinusies ar Finanšu ministrijas izstrādāto likumprojektu “Grozījumi Preču un pakalpojumu piekļūstamības likumā” (turpmāk – Likumprojekts) un nepiekrīt </w:t>
            </w:r>
            <w:proofErr w:type="spellStart"/>
            <w:r w:rsidRPr="00B9121D">
              <w:t>piedāvatajām</w:t>
            </w:r>
            <w:proofErr w:type="spellEnd"/>
            <w:r w:rsidRPr="00B9121D">
              <w:t xml:space="preserve"> izmaiņām, ar ko paredzēts nodot Latvijas Bankai Patērētāju tiesību aizsardzības centra (turpmāk – PTAC) funkcijas saistībā ar pakalpojumu atbilstības piekļūstamības prasībām finanšu pakalpojumu jomā uzraudzību. </w:t>
            </w:r>
          </w:p>
          <w:p w14:paraId="18FEC730" w14:textId="77777777" w:rsidR="00B9121D" w:rsidRPr="00B9121D" w:rsidRDefault="00B9121D" w:rsidP="00B9121D">
            <w:pPr>
              <w:spacing w:after="240"/>
            </w:pPr>
            <w:r w:rsidRPr="00B9121D">
              <w:t xml:space="preserve">Sabiedrība neatbalsta Patērētāju tiesību aizsardzības centra (turpmāk – PTAC) regulatīvo un uzraudzības funkciju pār nebanku kreditētājiem nodošanu Latvijas Bankai un attiecīgi iebilst pret Likumprojekta </w:t>
            </w:r>
            <w:r w:rsidRPr="00B9121D">
              <w:lastRenderedPageBreak/>
              <w:t xml:space="preserve">priekšlikumu. Sabiedrība uzskata, ka piedāvātā regulatora maiņa nav nepieciešama un var radīt arī pretēju efektu iecerētajam. Neraugoties uz reformu virzību, joprojām nav pietiekami skaidri pamatots, kādēļ šāda funkciju nodošana ir nepieciešama. Lai gan tiek norādīts, ka reformas mērķis ir samazināt administratīvo slogu un nodrošināt caurspīdīgu un vienotu kreditētāju uzraudzības un kontroles pieeju, pastāv pamatots risks, ka praksē tā varētu būtiski sarežģīt normatīvo un uzņēmējdarbības vidi, vienlaikus nesniedzot skaidrojumu, kā minētie mērķi tiks sasniegti. Turklāt līdz šim nav sniegti pierādījumi, kas apliecinātu PTAC nespēju pienācīgi pildīt tam noteikto uzraudzības funkciju un tādējādi attaisnotu uzraudzības pilnvaru nodošanu citai institūcijai. Sabiedrība uzskata, ka jebkurai normatīvā regulējuma reformai ir jābūt balstītai konkrētu trūkumu identificēšanā un izmērāmos uzlabojumos, nevis institucionālās struktūras pašas par sevi pārveidē. </w:t>
            </w:r>
          </w:p>
          <w:p w14:paraId="012C2FD8" w14:textId="77777777" w:rsidR="00B9121D" w:rsidRPr="00B9121D" w:rsidRDefault="00B9121D" w:rsidP="00B9121D">
            <w:pPr>
              <w:spacing w:after="240"/>
            </w:pPr>
            <w:r w:rsidRPr="00B9121D">
              <w:t xml:space="preserve">Ņemot vērā minēto, Sabiedrība iebilst pret grozījumiem Preču un pakalpojumu piekļūstamības likumā, ar kuriem paredzēts nodot finanšu pakalpojumu atbilstības piekļūstamības prasībām uzraudzību Latvijas Bankai, vienlaikus izslēdzot PTAC kompetenci šajā jomā. Šāda institucionāla pārdale nav pamatota ne ar identificētām problēmām līdzšinējā uzraudzības praksē, ne </w:t>
            </w:r>
            <w:r w:rsidRPr="00B9121D">
              <w:lastRenderedPageBreak/>
              <w:t xml:space="preserve">ar Direktīvas (ES) 2019/882 mērķiem, un kopumā nav atbalstāma, jo tā apdraud piekļūstamības prasību efektīvu un patērētāju interesēm atbilstošu piemērošanu praksē. </w:t>
            </w:r>
          </w:p>
          <w:p w14:paraId="173415D0" w14:textId="77777777" w:rsidR="00B9121D" w:rsidRPr="00B9121D" w:rsidRDefault="00B9121D" w:rsidP="00B9121D">
            <w:pPr>
              <w:spacing w:after="240"/>
            </w:pPr>
            <w:r w:rsidRPr="00B9121D">
              <w:t xml:space="preserve">Preču un pakalpojumu piekļūstamības likuma 22. pants šobrīd paredz, ka finanšu pakalpojumu atbilstību piekļūstamības prasībām uzrauga PTAC. Likumprojektā piedāvātās izmaiņas tiek pamatotas ar plašāku patērētāju tiesību aizsardzības funkciju pārdali finanšu sektorā, taču šāds pamatojums nav pietiekams, jo netiek vērtēts piekļūstamības uzraudzības specifiskais raksturs, kā arī līdzšinējās uzraudzības kvalitāte un tās rezultāti. Nav konstatēti PTAC darbības trūkumi vai sistēmiskas nepilnības piekļūstamības jomā, kas pamatotu nepieciešamību izslēgt šo funkciju no PTAC kompetences. </w:t>
            </w:r>
          </w:p>
          <w:p w14:paraId="443583B6" w14:textId="77777777" w:rsidR="00B9121D" w:rsidRPr="00B9121D" w:rsidRDefault="00B9121D" w:rsidP="00B9121D">
            <w:pPr>
              <w:spacing w:after="240"/>
            </w:pPr>
            <w:r w:rsidRPr="00B9121D">
              <w:t xml:space="preserve">Direktīva (ES) 2019/882 paredz, ka </w:t>
            </w:r>
            <w:proofErr w:type="spellStart"/>
            <w:r w:rsidRPr="00B9121D">
              <w:t>piekļūstamība</w:t>
            </w:r>
            <w:proofErr w:type="spellEnd"/>
            <w:r w:rsidRPr="00B9121D">
              <w:t xml:space="preserve"> ir instruments personu ar invaliditāti un citu personu ar funkcionēšanas ierobežojumiem pilnvērtīgai līdzdalībai sabiedrības dzīvē, vienlaikus nodrošinot vienotu un konsekventu pieeju iekšējā tirgū. Direktīvā uzsvērts, ka piekļūstamības prasības cieši saistītas ar informācijas uztveramību, </w:t>
            </w:r>
            <w:proofErr w:type="spellStart"/>
            <w:r w:rsidRPr="00B9121D">
              <w:t>izmantojamību</w:t>
            </w:r>
            <w:proofErr w:type="spellEnd"/>
            <w:r w:rsidRPr="00B9121D">
              <w:t xml:space="preserve"> un saprotamību, kā arī ar patērētāju faktisko spēju izmantot piedāvātos pakalpojumus. Šādu mērķu sasniegšanai būtiska ir tieši patērētāju tiesību aizsardzības iestādes iesaiste, kas ikdienā strādā ar </w:t>
            </w:r>
            <w:r w:rsidRPr="00B9121D">
              <w:lastRenderedPageBreak/>
              <w:t xml:space="preserve">patērētāju informēšanu, sūdzību izskatīšanu, reklāmas uzraudzību un negodīgas komercprakses novēršanu. </w:t>
            </w:r>
          </w:p>
          <w:p w14:paraId="540AB678" w14:textId="77777777" w:rsidR="00B9121D" w:rsidRPr="00B9121D" w:rsidRDefault="00B9121D" w:rsidP="00B9121D">
            <w:pPr>
              <w:spacing w:after="240"/>
            </w:pPr>
            <w:r w:rsidRPr="00B9121D">
              <w:t xml:space="preserve">PTAC līdzšinējā prakse patērētāju tiesību aizsardzības un reklāmas uzraudzības jomā apliecina, ka iestāde īsteno horizontāli integrētu, uz patērētāju vajadzībām orientētu uzraudzības modeli, kas pilnībā atbilst Direktīvas (ES) 2019/882 garam un mērķiem. PTAC funkcijas ietver ne tikai formālu atbilstības kontroli, bet arī preventīvu darbu – patērētāju informēšanu, vadlīniju izdošanu, sūdzību izskatīšanu, kolektīvo interešu aizsardzību un tirgus prakses izvērtēšanu kopumā. Šāda pieeja ir īpaši nozīmīga piekļūstamības jomā, kur būtiski ir ne tikai tehniski kritēriji, bet arī pakalpojumu reālā lietojamība dažādām patērētāju grupām. </w:t>
            </w:r>
          </w:p>
          <w:p w14:paraId="3A06F78E" w14:textId="77777777" w:rsidR="00B9121D" w:rsidRPr="00B9121D" w:rsidRDefault="00B9121D" w:rsidP="00B9121D">
            <w:pPr>
              <w:spacing w:after="240"/>
            </w:pPr>
            <w:r w:rsidRPr="00B9121D">
              <w:t xml:space="preserve">Savukārt Latvijas Bankas institucionālā loma ir vērsta uz finanšu sistēmas stabilitātes nodrošināšanu, monetārās un makroekonomiskās politikas īstenošanu, prudenciālo uzraudzību, risku pārvaldību un starptautisko saistību izpildi finanšu jomā. Šāda uzdevumu struktūra būtiski atšķiras no patērētāju ikdienas tiesību aizsardzības un piekļūstamības uzraudzības, kas prasa pastāvīgu tiešu saskarsmi ar patērētājiem, detalizētu pakalpojumu lietojamības izvērtējumu un operatīvu reaģēšanu uz sūdzībām. Pastāv pamatots risks, ka piekļūstamības uzraudzības funkcija Latvijas </w:t>
            </w:r>
            <w:r w:rsidRPr="00B9121D">
              <w:lastRenderedPageBreak/>
              <w:t xml:space="preserve">Bankas uzraudzības portfelī zaudēs savu praktisko nozīmību un tiks pakļauta sekundārai prioritātei salīdzinājumā ar sistēmiski nozīmīgiem finanšu stabilitātes jautājumiem. </w:t>
            </w:r>
          </w:p>
          <w:p w14:paraId="3853D3E2" w14:textId="77777777" w:rsidR="00B9121D" w:rsidRPr="00B9121D" w:rsidRDefault="00B9121D" w:rsidP="00B9121D">
            <w:pPr>
              <w:spacing w:after="240"/>
            </w:pPr>
            <w:r w:rsidRPr="00B9121D">
              <w:t xml:space="preserve">Turklāt Direktīva (ES) 2019/882 paredz nepieciešamību nodrošināt efektīvus uzraudzības mehānismus, iestāžu sadarbību, sūdzību izskatīšanu un patērētāju vajadzībās balstītu pieeju. Likumprojektā nav sniegts izvērtējums par to, kā Latvijas Banka nodrošinās šādu patērētāju orientētu uzraudzību, kā arī nav analizēti alternatīvi risinājumi, piemēram, kompetenču precizēšana, metodoloģijas saskaņošana vai pastiprināta sadarbība starp PTAC un Latvijas Banku, kas būtu mazāk </w:t>
            </w:r>
            <w:proofErr w:type="spellStart"/>
            <w:r w:rsidRPr="00B9121D">
              <w:t>invazīvi</w:t>
            </w:r>
            <w:proofErr w:type="spellEnd"/>
            <w:r w:rsidRPr="00B9121D">
              <w:t xml:space="preserve"> un samērīgāki ar likumprojekta mērķiem. </w:t>
            </w:r>
          </w:p>
          <w:p w14:paraId="5CE7849F" w14:textId="02F46204" w:rsidR="00470F6D" w:rsidRDefault="00B9121D" w:rsidP="00B9121D">
            <w:r w:rsidRPr="00B9121D">
              <w:t xml:space="preserve">Ņemot vērā minēto, secināms, ka grozījumi Preču un pakalpojumu piekļūstamības likumā, paredzot finanšu pakalpojumu piekļūstamības uzraudzības nodošanu Latvijas Bankai, nav pietiekami pamatoti, neatbilst labas likumdošanas un samērīguma principiem un rada risku piekļūstamības prasību praktiskās īstenošanas kvalitātei. Tā kā PTAC līdzšinējā prakse un pieredze patērētāju tiesību aizsardzībā un reklāmas uzraudzībā nodrošina efektīvu, konsekventu un patērētāju interesēm atbilstošu piekļūstamības uzraudzību, nav juridiska vai politiska pamata šo funkciju </w:t>
            </w:r>
            <w:r w:rsidRPr="00B9121D">
              <w:lastRenderedPageBreak/>
              <w:t>izslēgt no PTAC kompetences un nodot to Latvijas Bankai.</w:t>
            </w:r>
          </w:p>
        </w:tc>
        <w:tc>
          <w:tcPr>
            <w:tcW w:w="4820" w:type="dxa"/>
            <w:shd w:val="clear" w:color="auto" w:fill="FFFFFF"/>
            <w:noWrap/>
            <w:tcMar>
              <w:top w:w="75" w:type="dxa"/>
              <w:left w:w="75" w:type="dxa"/>
              <w:bottom w:w="75" w:type="dxa"/>
              <w:right w:w="75" w:type="dxa"/>
            </w:tcMar>
          </w:tcPr>
          <w:p w14:paraId="07CDB829" w14:textId="77777777" w:rsidR="000873C2" w:rsidRDefault="000873C2" w:rsidP="000873C2">
            <w:pPr>
              <w:rPr>
                <w:b/>
                <w:bCs/>
              </w:rPr>
            </w:pPr>
            <w:r w:rsidRPr="00D771D4">
              <w:rPr>
                <w:b/>
                <w:bCs/>
              </w:rPr>
              <w:lastRenderedPageBreak/>
              <w:t>Nav ņemts vērā</w:t>
            </w:r>
          </w:p>
          <w:p w14:paraId="7A1EB65C" w14:textId="77777777" w:rsidR="000873C2" w:rsidRDefault="000873C2" w:rsidP="000873C2">
            <w:pPr>
              <w:jc w:val="center"/>
              <w:rPr>
                <w:b/>
                <w:bCs/>
              </w:rPr>
            </w:pPr>
          </w:p>
          <w:p w14:paraId="0746F3D7" w14:textId="77777777" w:rsidR="000873C2" w:rsidRDefault="000873C2" w:rsidP="000873C2">
            <w:pPr>
              <w:rPr>
                <w:b/>
                <w:bCs/>
              </w:rPr>
            </w:pPr>
            <w:r w:rsidRPr="001A0482">
              <w:rPr>
                <w:b/>
                <w:bCs/>
              </w:rPr>
              <w:t xml:space="preserve">I </w:t>
            </w:r>
            <w:r>
              <w:rPr>
                <w:b/>
                <w:bCs/>
              </w:rPr>
              <w:t>P</w:t>
            </w:r>
            <w:r w:rsidRPr="001A0482">
              <w:rPr>
                <w:b/>
                <w:bCs/>
              </w:rPr>
              <w:t>ar reformas pamato</w:t>
            </w:r>
            <w:r>
              <w:rPr>
                <w:b/>
                <w:bCs/>
              </w:rPr>
              <w:t>tību</w:t>
            </w:r>
          </w:p>
          <w:p w14:paraId="480541DE" w14:textId="77777777" w:rsidR="000873C2" w:rsidRPr="00F15CC9" w:rsidRDefault="000873C2" w:rsidP="000873C2">
            <w:pPr>
              <w:rPr>
                <w:b/>
                <w:bCs/>
              </w:rPr>
            </w:pPr>
          </w:p>
          <w:p w14:paraId="0CBCB56C" w14:textId="77777777" w:rsidR="000873C2" w:rsidRDefault="000873C2" w:rsidP="000873C2">
            <w:r>
              <w:t>Skaidrojam, ka a</w:t>
            </w:r>
            <w:r w:rsidRPr="00E4498E">
              <w:t>r likumprojekt</w:t>
            </w:r>
            <w:r>
              <w:t>u pakotnē</w:t>
            </w:r>
            <w:r w:rsidRPr="00E4498E">
              <w:t xml:space="preserve"> ietvertajiem</w:t>
            </w:r>
            <w:r>
              <w:t xml:space="preserve"> 13 likumu</w:t>
            </w:r>
            <w:r w:rsidRPr="00E4498E">
              <w:t xml:space="preserve"> grozījumiem</w:t>
            </w:r>
            <w:r>
              <w:t>, tajā skaitā likumprojektu,</w:t>
            </w:r>
            <w:r w:rsidRPr="00E4498E">
              <w:t xml:space="preserve"> tiek pildīts Ministru kabineta 17.03.2026. sēdes protokollēmuma Nr. 15; 46. § 4. punktā  noteiktais, kas paredz to, ka Finanšu ministrijai sadarbībā ar Latvijas Banku, Ekonomikas ministriju un Tieslietu ministriju līdz 2026. gada 31. maijam nepieciešams izstrādāt un finanšu ministram iesniegt izskatīšanai Ministru kabineta sēdē grozījumus normatīvajos aktos, kas paredz šī protokollēmuma 2. punktā minēto funkciju nodošanu Latvijas Bankai ar 2027. gada 1. janvāri.</w:t>
            </w:r>
          </w:p>
          <w:p w14:paraId="3E88A68F" w14:textId="77777777" w:rsidR="000873C2" w:rsidRDefault="000873C2" w:rsidP="000873C2"/>
          <w:p w14:paraId="1B6A89E1" w14:textId="77777777" w:rsidR="000873C2" w:rsidRDefault="000873C2" w:rsidP="000873C2">
            <w:r>
              <w:t xml:space="preserve">Diskurss par patērētāju kreditēšanas uzraudzības sistēmas reformu jau pirms likumprojektu </w:t>
            </w:r>
            <w:r>
              <w:lastRenderedPageBreak/>
              <w:t xml:space="preserve">pakotnes izstrādes ir bijis ilgs un pietiekami izdiskutēts gan valsts institūciju, gan nozares nevalstiskā sektora ietvarā. </w:t>
            </w:r>
          </w:p>
          <w:p w14:paraId="61382C9E" w14:textId="77777777" w:rsidR="000873C2" w:rsidRPr="00D61B3D" w:rsidRDefault="000873C2" w:rsidP="000873C2">
            <w:r>
              <w:t xml:space="preserve">Diskusijas par </w:t>
            </w:r>
            <w:r w:rsidRPr="00F31FD1">
              <w:t>patērētāju kreditēšanas uzraudzības un licencēšanas, kā arī patērētāju tiesību un interešu aizsardzīb</w:t>
            </w:r>
            <w:r>
              <w:t>as</w:t>
            </w:r>
            <w:r w:rsidRPr="00F31FD1">
              <w:t xml:space="preserve"> finanšu sektorā nodošanu vienai institūcijai</w:t>
            </w:r>
            <w:r>
              <w:t xml:space="preserve"> </w:t>
            </w:r>
            <w:r w:rsidRPr="00F31FD1">
              <w:t>tika uzsākta</w:t>
            </w:r>
            <w:r>
              <w:t>s</w:t>
            </w:r>
            <w:r w:rsidRPr="00F31FD1">
              <w:t xml:space="preserve"> jau 2025. gada</w:t>
            </w:r>
            <w:r>
              <w:t xml:space="preserve"> </w:t>
            </w:r>
            <w:r w:rsidRPr="00F31FD1">
              <w:t xml:space="preserve">sākumā Ekonomikas ministrijas sagatavotā </w:t>
            </w:r>
            <w:r>
              <w:t>r</w:t>
            </w:r>
            <w:r w:rsidRPr="00F31FD1">
              <w:t xml:space="preserve">īcības plāna projekta ietvaros. Ar Ministru kabineta </w:t>
            </w:r>
            <w:r>
              <w:t xml:space="preserve">15.07.2025. </w:t>
            </w:r>
            <w:r w:rsidRPr="00F31FD1">
              <w:t xml:space="preserve"> rīkojumu Nr.422 “Rīcības plāns investīciju piesaistei un finanšu pieejamībai tautsaimniecībā” (prot. Nr. 28 50. §) tika apstiprināts Rīcības plāns, kura 14. virzienā Ekonomikas ministrija identificēj</w:t>
            </w:r>
            <w:r>
              <w:t>a</w:t>
            </w:r>
            <w:r w:rsidRPr="00F31FD1">
              <w:t xml:space="preserve"> kreditēšanas pakalpojumu sniedzēju sadrumstalotas uzraudzības problemātiku un attiecīgi uzdev</w:t>
            </w:r>
            <w:r>
              <w:t>a</w:t>
            </w:r>
            <w:r w:rsidRPr="00F31FD1">
              <w:t xml:space="preserve"> Finanšu ministrijai izstrādāt informatīvā ziņojum</w:t>
            </w:r>
            <w:r>
              <w:t xml:space="preserve">u ar </w:t>
            </w:r>
            <w:r w:rsidRPr="00D61B3D">
              <w:t xml:space="preserve">izvērtējumu par vienotas kreditētāju uzraudzības un kontroles institūcijas noteikšanu, tādējādi samazinot birokrātisko slogu un nodrošinot caurskatāmu vienotu pieeju kreditētāju uzraudzībā un kontrolē. Vienlaikus </w:t>
            </w:r>
            <w:r>
              <w:t>tika noteikta</w:t>
            </w:r>
            <w:r w:rsidRPr="00D61B3D">
              <w:t xml:space="preserve"> nepieciešamību izvērtēt arī Lietuvas pieredzi, kur visu kreditētāju, kuru uzraudzību neveic Eiropas Centrālā banka, uzraudzība ir nodota Lietuvas Bankai.</w:t>
            </w:r>
          </w:p>
          <w:p w14:paraId="431485DC" w14:textId="77777777" w:rsidR="000873C2" w:rsidRDefault="000873C2" w:rsidP="000873C2">
            <w:r w:rsidRPr="0056712A">
              <w:t>Finanšu ministrija</w:t>
            </w:r>
            <w:r>
              <w:t xml:space="preserve"> izstrādāja</w:t>
            </w:r>
            <w:r w:rsidRPr="0056712A">
              <w:t xml:space="preserve"> informatīv</w:t>
            </w:r>
            <w:r>
              <w:t>o</w:t>
            </w:r>
            <w:r w:rsidRPr="0056712A">
              <w:t xml:space="preserve"> ziņojum</w:t>
            </w:r>
            <w:r>
              <w:t xml:space="preserve">u </w:t>
            </w:r>
            <w:r w:rsidRPr="0056712A">
              <w:t>“Par vienotas patērētāju kreditētāju licencēšanas un uzraudzības institūcijas noteikšanu”</w:t>
            </w:r>
            <w:r>
              <w:t xml:space="preserve"> </w:t>
            </w:r>
            <w:r w:rsidRPr="00D53237">
              <w:t xml:space="preserve">(25-TA-3014) </w:t>
            </w:r>
            <w:r>
              <w:t xml:space="preserve">(turpmāk – Informatīvais ziņojums), kura izstrādes laikā, kā arī oficiālajā sabiedriskās apspriešanas procesā tika uzklausītas praktiski visas nozares  </w:t>
            </w:r>
            <w:r>
              <w:lastRenderedPageBreak/>
              <w:t xml:space="preserve">asociācijas, kā arī individuāli patērētāju kreditētāji, un tā apspriešanai tika organizēta sanāksme. </w:t>
            </w:r>
            <w:r w:rsidRPr="00D53237">
              <w:t>TAP pieejami atzinumi un izziņa par sniegtajiem iebildumiem un priekšlikumiem  pie minētā informatīvā ziņojuma.</w:t>
            </w:r>
          </w:p>
          <w:p w14:paraId="0560284F" w14:textId="77777777" w:rsidR="000873C2" w:rsidRDefault="000873C2" w:rsidP="000873C2">
            <w:r>
              <w:t>Informatīvā ziņojuma projekts tika arī izskatīts un atbalstīts Finanšu sektora attīstības padomes (</w:t>
            </w:r>
            <w:r w:rsidRPr="00430A8D">
              <w:t xml:space="preserve">turpmāk – </w:t>
            </w:r>
            <w:r>
              <w:t>FSAP) 09.12.2025. sēdē, tajā skaitā, piedaloties finanšu nozares asociācijām.</w:t>
            </w:r>
          </w:p>
          <w:p w14:paraId="54F71AF1" w14:textId="77777777" w:rsidR="000873C2" w:rsidRDefault="000873C2" w:rsidP="000873C2"/>
          <w:p w14:paraId="26D16AE4" w14:textId="77777777" w:rsidR="000873C2" w:rsidRDefault="000873C2" w:rsidP="000873C2">
            <w:r>
              <w:t>Ar I</w:t>
            </w:r>
            <w:r w:rsidRPr="00E3061F">
              <w:t>nformatīv</w:t>
            </w:r>
            <w:r>
              <w:t>o</w:t>
            </w:r>
            <w:r w:rsidRPr="00E3061F">
              <w:t xml:space="preserve"> ziņojum</w:t>
            </w:r>
            <w:r>
              <w:t>u</w:t>
            </w:r>
            <w:r w:rsidRPr="00E3061F">
              <w:t xml:space="preserve"> </w:t>
            </w:r>
            <w:r>
              <w:t xml:space="preserve">tika </w:t>
            </w:r>
            <w:r w:rsidRPr="00E3061F">
              <w:t>izvērtēta Latvijā esošā patērētāju tiesību aizsardzības sistēma, kompetenču sadalījums starp finanšu sektoru uzraugošajām iestādēm un piedāvāti risinājumi turpmākai patērētāju kreditēšanas nozares uzraudzības sistēmas attīstībai, kā arī izvērtēti citu valstu uzraudzības modeļi, tostarp Lietuv</w:t>
            </w:r>
            <w:r>
              <w:t>as modelis.</w:t>
            </w:r>
          </w:p>
          <w:p w14:paraId="4AFE706A" w14:textId="77777777" w:rsidR="000873C2" w:rsidRDefault="000873C2" w:rsidP="000873C2">
            <w:r>
              <w:t xml:space="preserve">Tāpat minams, ka FSAP </w:t>
            </w:r>
            <w:r w:rsidRPr="00354F2F">
              <w:t>09.12.2025</w:t>
            </w:r>
            <w:r>
              <w:t xml:space="preserve">. sēdē arī tika iekļauts un izskatīts jautājums par vienotas nebanku kreditētāju uzraudzības un kontroles institūcijas noteikšanu. Šajā FSAP sēdē lēmuma pieņemšanai tika piedāvāti divi iespējamie risinājuma varianti: 1.variants – ar normatīvā regulējuma palīdzību skaidrāk noteikt praktiskās uzraudzības jomas robežas starp Patērētāju tiesību centru (turpmāk – PTAC) un Valsts ieņēmumu dienestu uzraudzībā esošajiem subjektiem; 2.variants – patērētāju kreditēšanas pakalpojumu sniedzēju licencēšanas un uzraudzības funkcijas, patērētāju – finanšu pakalpojumu saņēmēju – tiesību un interešu aizsardzības funkcijas un negodīgas </w:t>
            </w:r>
            <w:r>
              <w:lastRenderedPageBreak/>
              <w:t>komercprakses uzraudzības finanšu pakalpojumu jomā funkcijas nodošanu no PTAC Latvijas Bankai. FSAP sēdē tika nolemts virzīt tālāk piedāvāto 2. variantu.</w:t>
            </w:r>
          </w:p>
          <w:p w14:paraId="1E2B6635" w14:textId="77777777" w:rsidR="000873C2" w:rsidRDefault="000873C2" w:rsidP="000873C2"/>
          <w:p w14:paraId="01FCAE9D" w14:textId="77777777" w:rsidR="000873C2" w:rsidRPr="009B33BB" w:rsidRDefault="000873C2" w:rsidP="000873C2">
            <w:r>
              <w:t>Vienlaikus atzīmējams, l</w:t>
            </w:r>
            <w:r w:rsidRPr="009B33BB">
              <w:t xml:space="preserve">ai nodrošinātu to, ka </w:t>
            </w:r>
            <w:r>
              <w:t xml:space="preserve">patērētāju </w:t>
            </w:r>
            <w:r w:rsidRPr="009B33BB">
              <w:t xml:space="preserve">kreditēšanas pakalpojumu sniedzējiem ir saprotams </w:t>
            </w:r>
            <w:r>
              <w:t>plānotais</w:t>
            </w:r>
            <w:r w:rsidRPr="009B33BB">
              <w:t xml:space="preserve"> Latvijas Bankas uzraudzības ietvars, </w:t>
            </w:r>
            <w:r>
              <w:t>Latvijas Banka</w:t>
            </w:r>
            <w:r w:rsidRPr="009B33BB">
              <w:t xml:space="preserve"> sadarbībā ar biedrības "Asociācija Fintech Latvija" biedriem uzsāk</w:t>
            </w:r>
            <w:r>
              <w:t>a</w:t>
            </w:r>
            <w:r w:rsidRPr="009B33BB">
              <w:t xml:space="preserve"> vairāku tematisko virzienu sarunu ciklu, kura ietvaros </w:t>
            </w:r>
            <w:r>
              <w:t>tika izskatīti</w:t>
            </w:r>
            <w:r w:rsidRPr="009B33BB">
              <w:t xml:space="preserve"> galvenie uzraudzības aspekti un izrunāti neskaidrie jautājumi, izveidojot piecas tematiskās sarunu grupas:</w:t>
            </w:r>
          </w:p>
          <w:p w14:paraId="55C368B8" w14:textId="77777777" w:rsidR="000873C2" w:rsidRPr="009B33BB" w:rsidRDefault="000873C2" w:rsidP="000873C2">
            <w:pPr>
              <w:ind w:firstLine="720"/>
            </w:pPr>
            <w:r w:rsidRPr="009B33BB">
              <w:t xml:space="preserve">1) </w:t>
            </w:r>
            <w:r>
              <w:rPr>
                <w:rFonts w:eastAsia="Calibri"/>
              </w:rPr>
              <w:t>n</w:t>
            </w:r>
            <w:r w:rsidRPr="004B0E78">
              <w:rPr>
                <w:rFonts w:eastAsia="Calibri"/>
              </w:rPr>
              <w:t>oziedzīgi iegūtu līdzekļu legalizācijas un terorisma un proliferācijas finansēšanas novēršan</w:t>
            </w:r>
            <w:r>
              <w:rPr>
                <w:rFonts w:eastAsia="Calibri"/>
              </w:rPr>
              <w:t xml:space="preserve">as (turpmāk – </w:t>
            </w:r>
            <w:r w:rsidRPr="009B33BB">
              <w:t>NILLTPFN</w:t>
            </w:r>
            <w:r>
              <w:t>)</w:t>
            </w:r>
            <w:r w:rsidRPr="009B33BB" w:rsidDel="0008057C">
              <w:t xml:space="preserve"> </w:t>
            </w:r>
            <w:r w:rsidRPr="009B33BB">
              <w:t>jautājumi;</w:t>
            </w:r>
          </w:p>
          <w:p w14:paraId="449530B7" w14:textId="77777777" w:rsidR="000873C2" w:rsidRPr="009B33BB" w:rsidRDefault="000873C2" w:rsidP="000873C2">
            <w:pPr>
              <w:ind w:firstLine="720"/>
            </w:pPr>
            <w:r w:rsidRPr="009B33BB">
              <w:t>2) kredītrisku/kredītspējas vērtēšana;</w:t>
            </w:r>
          </w:p>
          <w:p w14:paraId="2A7AAD1B" w14:textId="77777777" w:rsidR="000873C2" w:rsidRPr="009B33BB" w:rsidRDefault="000873C2" w:rsidP="000873C2">
            <w:pPr>
              <w:ind w:firstLine="720"/>
            </w:pPr>
            <w:r w:rsidRPr="009B33BB">
              <w:t xml:space="preserve">3) </w:t>
            </w:r>
            <w:proofErr w:type="spellStart"/>
            <w:r w:rsidRPr="009B33BB">
              <w:t>pirmslīguma</w:t>
            </w:r>
            <w:proofErr w:type="spellEnd"/>
            <w:r w:rsidRPr="009B33BB">
              <w:t xml:space="preserve"> informācija un līguma saturs;</w:t>
            </w:r>
          </w:p>
          <w:p w14:paraId="3F4FA95E" w14:textId="77777777" w:rsidR="000873C2" w:rsidRDefault="000873C2" w:rsidP="000873C2">
            <w:pPr>
              <w:ind w:firstLine="720"/>
            </w:pPr>
            <w:r w:rsidRPr="009B33BB">
              <w:t xml:space="preserve">4) reklāmas ierobežojumi, aizdevumu administrēšana un kvalitātes pārraudzība; </w:t>
            </w:r>
            <w:r w:rsidRPr="009B33BB">
              <w:tab/>
            </w:r>
          </w:p>
          <w:p w14:paraId="6E215CB4" w14:textId="77777777" w:rsidR="000873C2" w:rsidRDefault="000873C2" w:rsidP="000873C2">
            <w:pPr>
              <w:ind w:firstLine="720"/>
            </w:pPr>
            <w:r w:rsidRPr="009B33BB">
              <w:t xml:space="preserve">5) pārvaldības jautājumi. </w:t>
            </w:r>
          </w:p>
          <w:p w14:paraId="10EE5244" w14:textId="77777777" w:rsidR="000873C2" w:rsidRDefault="000873C2" w:rsidP="000873C2">
            <w:r w:rsidRPr="00234FF2">
              <w:t xml:space="preserve">Darba grupu ietvaros, izskatot Latvijas Bankas uzraudzības pieeju katrā attiecīgajā tematiskajā jautājumā, notika diskusijas un ir panāktas vienošanās un kopējas izpratnes par pārvaldības sistēmu, </w:t>
            </w:r>
            <w:r w:rsidRPr="18B3CC22">
              <w:rPr>
                <w:rFonts w:eastAsia="Calibri"/>
              </w:rPr>
              <w:t>NILLTPFN</w:t>
            </w:r>
            <w:r w:rsidRPr="00234FF2">
              <w:t xml:space="preserve"> jautājumiem, kredītrisku un kredītspējas novērtēšanas atsevišķiem aspektiem, vienlaikus tiks turpinātas diskusijas par kredītspējas vērtēšanas pieejas pilnveides iespējām un salīdzinājumu ar Lietuvā izmantot modeli, atsevišķiem tehniskiem </w:t>
            </w:r>
            <w:r w:rsidRPr="18B3CC22">
              <w:rPr>
                <w:rFonts w:eastAsia="Calibri"/>
              </w:rPr>
              <w:t>NILLTPFN</w:t>
            </w:r>
            <w:r w:rsidRPr="00234FF2">
              <w:t xml:space="preserve"> </w:t>
            </w:r>
            <w:r>
              <w:lastRenderedPageBreak/>
              <w:t xml:space="preserve">jomas </w:t>
            </w:r>
            <w:r w:rsidRPr="00234FF2">
              <w:t xml:space="preserve">uzraudzības aspektiem, </w:t>
            </w:r>
            <w:r>
              <w:t>K</w:t>
            </w:r>
            <w:r w:rsidRPr="00234FF2">
              <w:t>redīt</w:t>
            </w:r>
            <w:r>
              <w:t xml:space="preserve">u </w:t>
            </w:r>
            <w:r w:rsidRPr="00234FF2">
              <w:t xml:space="preserve">reģistram  </w:t>
            </w:r>
            <w:r w:rsidRPr="396E4632">
              <w:t>sniedzamās</w:t>
            </w:r>
            <w:r w:rsidRPr="1EFEED41">
              <w:t xml:space="preserve"> </w:t>
            </w:r>
            <w:r w:rsidRPr="00234FF2">
              <w:t>informācij</w:t>
            </w:r>
            <w:r w:rsidRPr="3D1CF749">
              <w:t xml:space="preserve">as </w:t>
            </w:r>
            <w:r w:rsidRPr="614832AF">
              <w:t>apjomu</w:t>
            </w:r>
            <w:r w:rsidRPr="00234FF2">
              <w:t>, iesniedzamo uzraudzības pārskatu</w:t>
            </w:r>
            <w:r>
              <w:t xml:space="preserve"> u.c. jautājumiem.</w:t>
            </w:r>
            <w:r w:rsidRPr="00234FF2">
              <w:t xml:space="preserve"> </w:t>
            </w:r>
            <w:r w:rsidRPr="009D0164">
              <w:t>Latvijas Banka ir izveidojusi informācijas apmaiņas kanālu regulārai saziņai ar nozari, kurā tai skaitā tiek nodrošināta atbilžu publicēšana uz nozares neskaidriem jautājumiem.</w:t>
            </w:r>
            <w:r>
              <w:t xml:space="preserve"> Latvijas Banka turpina saziņa ar patērētāju kreditētājiem. </w:t>
            </w:r>
          </w:p>
          <w:p w14:paraId="21D6AB55" w14:textId="77777777" w:rsidR="000873C2" w:rsidRDefault="000873C2" w:rsidP="000873C2"/>
          <w:p w14:paraId="4377B14C" w14:textId="77777777" w:rsidR="000873C2" w:rsidRDefault="000873C2" w:rsidP="000873C2">
            <w:r>
              <w:t>Vienlaikus uzsverams, ka jautājums par to, kura no valsts institūcijām pildīs kādu no savām funkcijām, vai no tām izrietošos uzdevumus, ir pašas valsts prerogatīva, proti, noteikt, kura no institūcijām turpmāk pildīs vienotas patērētāju kreditētāju licencēšanas un uzraudzības institūcijas funkcijas. Savukārt samērīguma princips savā būtībā ietver to, lai valsts pieņemot lēmumus neierobežotu personas tiesības vairāk nekā tas ir objektīvi nepieciešams leģitīma mērķa sasniegšanai. Tātad – starp mērķi un līdzekļiem ir jābūt saprātīgai līdzsvarotībai. Nosakot vienu patērētāju kreditēšanas uzraudzības institūciju valsts neiejaucas personas – patērētāja, kas ir fiziska persona, tiesībās, bet kā jau iepriekš minēts, izvēlas institūciju, kas nodrošinās atbilstošās funkcijas. Tādējādi patērētājiem pienākošais tiesību kopums, kas izriet no patērētāju tiesību tvēruma nekādā veidā netiek ierobežots vai mazināts. Arī patērētāju kreditētāju tiesības un pienākumi ar šo iecerēto funkciju un no tām izrietošo uzdevumu pāreju netiek ierobežoti, kā arī nerada jaunu administratīvo, finanšu vai konkurences slogu.</w:t>
            </w:r>
          </w:p>
          <w:p w14:paraId="61D98D25" w14:textId="77777777" w:rsidR="000873C2" w:rsidRDefault="000873C2" w:rsidP="000873C2"/>
          <w:p w14:paraId="7208AACA" w14:textId="77777777" w:rsidR="000873C2" w:rsidRDefault="000873C2" w:rsidP="000873C2">
            <w:r w:rsidRPr="00BE63DC">
              <w:t>Tiesiskās paļāvības princips nozīmē, ka persona var paļauties uz to, ka tiesības un likumiskās intereses, kuras tā ir ieguvusi, tai vēlāk netiks atņemtas. Šā principa pamatā ir personas paļaušanās uz valsts tiesisku un konsekventu rīcību (</w:t>
            </w:r>
            <w:r w:rsidRPr="00BE63DC">
              <w:rPr>
                <w:i/>
              </w:rPr>
              <w:t>Satversmes tiesas 2012.gada 25.janvāra sprieduma lietā Nr. 2011-08-01 10.punkts</w:t>
            </w:r>
            <w:r w:rsidRPr="00BE63DC">
              <w:t>). Tā galvenais uzdevums ir aizsargāt personas tiesības gadījumos, kad normatīvā regulējuma grozījumu rezultātā notiek vai ir iespējama privātpersonu tiesiskā stāvokļa pasliktināšanās (</w:t>
            </w:r>
            <w:r w:rsidRPr="00BE63DC">
              <w:rPr>
                <w:i/>
              </w:rPr>
              <w:t>Satversmes tiesas 2006.gada 8.novembra sprieduma lietā Nr. 2006-04-01 21.punkts</w:t>
            </w:r>
            <w:r w:rsidRPr="00BE63DC">
              <w:t>). Taču tiesiskās paļāvības princips neizslēdz valsts iespēju grozīt pastāvošo tiesisko regulējumu (</w:t>
            </w:r>
            <w:r w:rsidRPr="00BE63DC">
              <w:rPr>
                <w:i/>
              </w:rPr>
              <w:t>Satversmes tiesas 2010.gada 1.decembra sprieduma lietā Nr. 2010-21-01 19.punkts</w:t>
            </w:r>
            <w:r w:rsidRPr="00BE63DC">
              <w:t>). Tiesiskās paļāvības princips tostarp noteic arī to, ka personas reiz iegūtās tiesības nevar pastāvēt neierobežoti ilgi, proti, šis princips nedod pamatu ticēt, ka reiz noteiktā tiesiskā situācija nekad nemainīsies (</w:t>
            </w:r>
            <w:r w:rsidRPr="00BE63DC">
              <w:rPr>
                <w:i/>
              </w:rPr>
              <w:t>Satversmes tiesas 2004.gada 25.oktobra sprieduma lietā Nr. 2004-03-01 9.3.punkts</w:t>
            </w:r>
            <w:r w:rsidRPr="00BE63DC">
              <w:t>).</w:t>
            </w:r>
          </w:p>
          <w:p w14:paraId="518D0C3B" w14:textId="77777777" w:rsidR="000873C2" w:rsidRDefault="000873C2" w:rsidP="000873C2">
            <w:r>
              <w:t xml:space="preserve">Apvienojot regulējošā ietvara izstrādi, uzraudzību un patērētāju tiesību aizsardzību vienā institūcijā, tiek panākta lielāka saskaņotība un koordinācija. Tas ir īpaši būtiski situācijās, kurās nepieciešama starpnozaru sadarbība, piemēram, mājokļu kredītu pārkreditēšanas procesos vai nodrošinot banku pakalpojumu pieejamību reģionos. Vienotas institūcijas ietvaros iespējams ātrāk un efektīvāk identificēt </w:t>
            </w:r>
            <w:r>
              <w:lastRenderedPageBreak/>
              <w:t>problēmas, analizēt datus, izstrādāt risinājumus un ieviest politikas pasākumus.</w:t>
            </w:r>
          </w:p>
          <w:p w14:paraId="2B1B0F39" w14:textId="77777777" w:rsidR="000873C2" w:rsidRDefault="000873C2" w:rsidP="000873C2">
            <w:r>
              <w:t xml:space="preserve">Uzņēmējdarbības brīvība pēc būtības ietver personas tiesības brīvi uzsākt un veikt jebkāda veida saimniecisko darbību, izvēlēties nodarbošanos, veikt ieguldījumus un organizēt uzņēmumu, ja vien tas nav aizliegts ar likumu un atbilst sabiedrības interesēm. Funkciju pāreja no vienas institūcijas uz otru nerada Satversmes 105. pantā ietverto tiesību uz uzņēmējdarbības brīvību aizskārumu. </w:t>
            </w:r>
          </w:p>
          <w:p w14:paraId="4823C4BD" w14:textId="77777777" w:rsidR="000873C2" w:rsidRDefault="000873C2" w:rsidP="000873C2"/>
          <w:p w14:paraId="1F3F67FF" w14:textId="77777777" w:rsidR="000873C2" w:rsidRDefault="000873C2" w:rsidP="000873C2">
            <w:r>
              <w:t xml:space="preserve">Attiecībā uz labas likumdošanas principu norādāms, ka Satversmes tiesa ir atzinusi to, ka tas, ka </w:t>
            </w:r>
            <w:r w:rsidRPr="00CF1F0A">
              <w:t>likumdevējs nav ņēmis vērā visus paustos iebildumus un sniegtos priekšlikumus, nevar būt par pamatu tam, lai atzītu, ka labas likumdošanas princips nav ievērots (</w:t>
            </w:r>
            <w:r w:rsidRPr="00CF1F0A">
              <w:rPr>
                <w:i/>
                <w:iCs/>
              </w:rPr>
              <w:t>sk., piemēram, Satversmes tiesas 2015. gada 25. marta sprieduma lietā Nr. 2014-11-0103 18.1. punktu</w:t>
            </w:r>
            <w:r>
              <w:rPr>
                <w:i/>
                <w:iCs/>
              </w:rPr>
              <w:t>;</w:t>
            </w:r>
            <w:r w:rsidRPr="00391BD4">
              <w:rPr>
                <w:i/>
                <w:iCs/>
              </w:rPr>
              <w:t xml:space="preserve"> </w:t>
            </w:r>
            <w:r>
              <w:rPr>
                <w:i/>
                <w:iCs/>
              </w:rPr>
              <w:t xml:space="preserve">sk. arī </w:t>
            </w:r>
            <w:r w:rsidRPr="00391BD4">
              <w:rPr>
                <w:i/>
                <w:iCs/>
              </w:rPr>
              <w:t>Satversmes tiesas 20</w:t>
            </w:r>
            <w:r>
              <w:rPr>
                <w:i/>
                <w:iCs/>
              </w:rPr>
              <w:t>20</w:t>
            </w:r>
            <w:r w:rsidRPr="00391BD4">
              <w:rPr>
                <w:i/>
                <w:iCs/>
              </w:rPr>
              <w:t xml:space="preserve">. gada </w:t>
            </w:r>
            <w:r>
              <w:rPr>
                <w:i/>
                <w:iCs/>
              </w:rPr>
              <w:t>12. februāra</w:t>
            </w:r>
            <w:r w:rsidRPr="00391BD4">
              <w:rPr>
                <w:i/>
                <w:iCs/>
              </w:rPr>
              <w:t xml:space="preserve"> sprieduma lietā Nr. 20</w:t>
            </w:r>
            <w:r>
              <w:rPr>
                <w:i/>
                <w:iCs/>
              </w:rPr>
              <w:t>19</w:t>
            </w:r>
            <w:r w:rsidRPr="00391BD4">
              <w:rPr>
                <w:i/>
                <w:iCs/>
              </w:rPr>
              <w:t>-</w:t>
            </w:r>
            <w:r>
              <w:rPr>
                <w:i/>
                <w:iCs/>
              </w:rPr>
              <w:t>05</w:t>
            </w:r>
            <w:r w:rsidRPr="00391BD4">
              <w:rPr>
                <w:i/>
                <w:iCs/>
              </w:rPr>
              <w:t>-01 1</w:t>
            </w:r>
            <w:r>
              <w:rPr>
                <w:i/>
                <w:iCs/>
              </w:rPr>
              <w:t>9</w:t>
            </w:r>
            <w:r w:rsidRPr="00391BD4">
              <w:rPr>
                <w:i/>
                <w:iCs/>
              </w:rPr>
              <w:t>.1</w:t>
            </w:r>
            <w:r>
              <w:rPr>
                <w:i/>
                <w:iCs/>
              </w:rPr>
              <w:t>.1</w:t>
            </w:r>
            <w:r w:rsidRPr="00391BD4">
              <w:rPr>
                <w:i/>
                <w:iCs/>
              </w:rPr>
              <w:t>. punktu</w:t>
            </w:r>
            <w:r w:rsidRPr="00CF1F0A">
              <w:t xml:space="preserve">). </w:t>
            </w:r>
            <w:r>
              <w:t xml:space="preserve">Tāpat </w:t>
            </w:r>
            <w:r w:rsidRPr="00CF1F0A">
              <w:t xml:space="preserve">Satversmes tiesa </w:t>
            </w:r>
            <w:r>
              <w:t xml:space="preserve">ir </w:t>
            </w:r>
            <w:r w:rsidRPr="00CF1F0A">
              <w:t>uzsv</w:t>
            </w:r>
            <w:r>
              <w:t>ērusi</w:t>
            </w:r>
            <w:r w:rsidRPr="00CF1F0A">
              <w:t xml:space="preserve">, ka labas likumdošanas princips negarantē konkrētu vienai personai vai personu grupai vēlamu rezultātu, tomēr tā ievērošana ikvienam dod pārliecību par to, ka attiecīgais jautājums ir demokrātiski apspriests, proti, dažādi viedokļi ir pausti un analizēti, un ka dažādu tiesību un likumīgo interešu sadursmes gadījumā labākais iespējamais līdzsvars ir meklēts, </w:t>
            </w:r>
            <w:r w:rsidRPr="009115A7">
              <w:rPr>
                <w:color w:val="auto"/>
              </w:rPr>
              <w:t>ievērojot </w:t>
            </w:r>
            <w:hyperlink r:id="rId7" w:tgtFrame="_blank" w:history="1">
              <w:r w:rsidRPr="009115A7">
                <w:rPr>
                  <w:rStyle w:val="Hyperlink"/>
                  <w:color w:val="auto"/>
                  <w:u w:val="none"/>
                </w:rPr>
                <w:t>Satversmē</w:t>
              </w:r>
            </w:hyperlink>
            <w:r w:rsidRPr="00CF1F0A">
              <w:t> ietvertās vērtības un vispārējos tiesību principus (</w:t>
            </w:r>
            <w:r w:rsidRPr="00CF1F0A">
              <w:rPr>
                <w:i/>
                <w:iCs/>
              </w:rPr>
              <w:t xml:space="preserve">sal. sk. Satversmes </w:t>
            </w:r>
            <w:r w:rsidRPr="00CF1F0A">
              <w:rPr>
                <w:i/>
                <w:iCs/>
              </w:rPr>
              <w:lastRenderedPageBreak/>
              <w:t>tiesas 2019. gada 23. aprīļa sprieduma lietā Nr. 2018-12-01 24.1. punktu</w:t>
            </w:r>
            <w:r>
              <w:rPr>
                <w:i/>
                <w:iCs/>
              </w:rPr>
              <w:t xml:space="preserve">; sk. arī </w:t>
            </w:r>
            <w:r w:rsidRPr="00391BD4">
              <w:rPr>
                <w:i/>
                <w:iCs/>
              </w:rPr>
              <w:t>Satversmes tiesas 20</w:t>
            </w:r>
            <w:r>
              <w:rPr>
                <w:i/>
                <w:iCs/>
              </w:rPr>
              <w:t>20</w:t>
            </w:r>
            <w:r w:rsidRPr="00391BD4">
              <w:rPr>
                <w:i/>
                <w:iCs/>
              </w:rPr>
              <w:t xml:space="preserve">. gada </w:t>
            </w:r>
            <w:r>
              <w:rPr>
                <w:i/>
                <w:iCs/>
              </w:rPr>
              <w:t>12. februāra</w:t>
            </w:r>
            <w:r w:rsidRPr="00391BD4">
              <w:rPr>
                <w:i/>
                <w:iCs/>
              </w:rPr>
              <w:t xml:space="preserve"> sprieduma lietā Nr. 20</w:t>
            </w:r>
            <w:r>
              <w:rPr>
                <w:i/>
                <w:iCs/>
              </w:rPr>
              <w:t>19</w:t>
            </w:r>
            <w:r w:rsidRPr="00391BD4">
              <w:rPr>
                <w:i/>
                <w:iCs/>
              </w:rPr>
              <w:t>-</w:t>
            </w:r>
            <w:r>
              <w:rPr>
                <w:i/>
                <w:iCs/>
              </w:rPr>
              <w:t>05</w:t>
            </w:r>
            <w:r w:rsidRPr="00391BD4">
              <w:rPr>
                <w:i/>
                <w:iCs/>
              </w:rPr>
              <w:t>-01 1</w:t>
            </w:r>
            <w:r>
              <w:rPr>
                <w:i/>
                <w:iCs/>
              </w:rPr>
              <w:t>9</w:t>
            </w:r>
            <w:r w:rsidRPr="00391BD4">
              <w:rPr>
                <w:i/>
                <w:iCs/>
              </w:rPr>
              <w:t>.1</w:t>
            </w:r>
            <w:r>
              <w:rPr>
                <w:i/>
                <w:iCs/>
              </w:rPr>
              <w:t>.1</w:t>
            </w:r>
            <w:r w:rsidRPr="00391BD4">
              <w:rPr>
                <w:i/>
                <w:iCs/>
              </w:rPr>
              <w:t>. punktu</w:t>
            </w:r>
            <w:r w:rsidRPr="00CF1F0A">
              <w:t>).</w:t>
            </w:r>
            <w:r>
              <w:t xml:space="preserve"> </w:t>
            </w:r>
          </w:p>
          <w:p w14:paraId="5E85533D" w14:textId="77777777" w:rsidR="000873C2" w:rsidRDefault="000873C2" w:rsidP="000873C2">
            <w:r>
              <w:t xml:space="preserve">Ņemot vērā līdzšinējo finanšu sektora asociāciju aktīvo iesaisti gan  Informatīvā ziņojuma izstrādē, gan arī sniedzot atzinumus par likumprojektu </w:t>
            </w:r>
            <w:proofErr w:type="spellStart"/>
            <w:r>
              <w:t>pakotni</w:t>
            </w:r>
            <w:proofErr w:type="spellEnd"/>
            <w:r>
              <w:t xml:space="preserve"> TAP portālā,  kā arī, izvērtējot regulējuma iespējamo ietekmi uz personu ekonomiskajām interesēm, Finanšu ministrija, izvēloties sabiedriskās līdzdalības veidus, ir nodrošinājusi jēgpilnu, efektīvu, atklātu, ietverošu savlaicīgu un atbildīgu nozares iesaisti normatīvā regulējuma izstrādes procesā.</w:t>
            </w:r>
          </w:p>
          <w:p w14:paraId="3BD72E71" w14:textId="77777777" w:rsidR="000873C2" w:rsidRDefault="000873C2" w:rsidP="000873C2"/>
          <w:p w14:paraId="491D7260" w14:textId="77777777" w:rsidR="000873C2" w:rsidRDefault="000873C2" w:rsidP="000873C2">
            <w:r>
              <w:t xml:space="preserve">Tāpēc vēlreiz uzsverams, ka jau </w:t>
            </w:r>
            <w:r w:rsidRPr="005B6105">
              <w:t xml:space="preserve">Informatīvajā ziņojumā tika skaidri izklāstīts Latvijas Bankas piedāvātais uzraudzības modelis, kas nodrošinātu sistemātisku tirgus dalībnieku darbības izvērtējumu, savlaicīgu risku identificēšanu un mērķtiecīgu korektīvo pasākumu piemērošanu. </w:t>
            </w:r>
            <w:r>
              <w:t>Savukārt a</w:t>
            </w:r>
            <w:r w:rsidRPr="005B6105">
              <w:t xml:space="preserve">r </w:t>
            </w:r>
            <w:r>
              <w:t xml:space="preserve">13 </w:t>
            </w:r>
            <w:r w:rsidRPr="005B6105">
              <w:t>likumprojektu</w:t>
            </w:r>
            <w:r>
              <w:t xml:space="preserve"> </w:t>
            </w:r>
            <w:proofErr w:type="spellStart"/>
            <w:r>
              <w:t>pakotni</w:t>
            </w:r>
            <w:proofErr w:type="spellEnd"/>
            <w:r>
              <w:t xml:space="preserve"> </w:t>
            </w:r>
            <w:r w:rsidRPr="005B6105">
              <w:t xml:space="preserve"> tiek mainīta patērētāju kreditētāju licencēšanas un uzraudzības kompetentā iestāde, kā arī kompetentā iestāde patērētāju tiesību un interešu aizsardzībai finanšu sektorā, vienlaikus saglabājot esošās licencēšanas un uzraudzības prasības. Likumprojekts un tā pavadošie grozījumi nesatur papildu uzraudzības prasības patērētāju kreditētājiem</w:t>
            </w:r>
            <w:r>
              <w:t>.</w:t>
            </w:r>
          </w:p>
          <w:p w14:paraId="37BC9B1C" w14:textId="77777777" w:rsidR="00470F6D" w:rsidRDefault="00470F6D" w:rsidP="00762B06"/>
          <w:p w14:paraId="1B273AD2" w14:textId="3600FA96" w:rsidR="00811B4E" w:rsidRPr="000931B1" w:rsidRDefault="00811B4E" w:rsidP="00762B06">
            <w:pPr>
              <w:rPr>
                <w:b/>
                <w:bCs/>
              </w:rPr>
            </w:pPr>
            <w:r w:rsidRPr="000931B1">
              <w:rPr>
                <w:b/>
                <w:bCs/>
              </w:rPr>
              <w:lastRenderedPageBreak/>
              <w:t xml:space="preserve">II </w:t>
            </w:r>
            <w:r w:rsidR="000931B1" w:rsidRPr="000931B1">
              <w:rPr>
                <w:b/>
                <w:bCs/>
              </w:rPr>
              <w:t xml:space="preserve">Par </w:t>
            </w:r>
            <w:r w:rsidR="000931B1" w:rsidRPr="000931B1">
              <w:rPr>
                <w:b/>
                <w:bCs/>
              </w:rPr>
              <w:t>Preču un pakalpojumu piekļūstamības likum</w:t>
            </w:r>
            <w:r w:rsidR="000931B1" w:rsidRPr="000931B1">
              <w:rPr>
                <w:b/>
                <w:bCs/>
              </w:rPr>
              <w:t>a grozījumiem</w:t>
            </w:r>
          </w:p>
          <w:p w14:paraId="59252EEA" w14:textId="77777777" w:rsidR="000931B1" w:rsidRDefault="000931B1" w:rsidP="00762B06"/>
          <w:p w14:paraId="487AF835" w14:textId="77777777" w:rsidR="00811B4E" w:rsidRPr="00811B4E" w:rsidRDefault="00811B4E" w:rsidP="00811B4E">
            <w:r w:rsidRPr="00811B4E">
              <w:t>Anotācijās grozījumi ir raksturoti kā institucionāla kompetences pārdale nevis tādēļ, lai mazinātu reformas nozīmi, bet tādēļ, ka netiek mainītas patērētāju tiesību materiālās normas, netiek grozīts patērētāju tiesību saturs vai apjoms, kā arī netiek ieviesti jauni pienākumi tirgus dalībniekiem pēc būtības.</w:t>
            </w:r>
          </w:p>
          <w:p w14:paraId="3090EA36" w14:textId="77777777" w:rsidR="00811B4E" w:rsidRPr="00811B4E" w:rsidRDefault="00811B4E" w:rsidP="00811B4E"/>
          <w:p w14:paraId="4275F51B" w14:textId="77777777" w:rsidR="00811B4E" w:rsidRPr="00811B4E" w:rsidRDefault="00811B4E" w:rsidP="00811B4E">
            <w:r w:rsidRPr="00811B4E">
              <w:t>Sūdzību izskatīšanas procesa pamatelementi – tiesības vērsties iestādē, procesuālās garantijas,</w:t>
            </w:r>
          </w:p>
          <w:p w14:paraId="4248DE55" w14:textId="77777777" w:rsidR="00811B4E" w:rsidRPr="00811B4E" w:rsidRDefault="00811B4E" w:rsidP="00811B4E">
            <w:r w:rsidRPr="00811B4E">
              <w:t>lēmumu motivācijas pienākums, tiesības tos pārsūdzēt tiesā – ar institucionālo reformu netiek mainīti, jo tos nosaka Administratīvā procesa likums un speciālie patērētāju tiesību aizsardzības normatīvie akti.</w:t>
            </w:r>
          </w:p>
          <w:p w14:paraId="00862E56" w14:textId="77777777" w:rsidR="00811B4E" w:rsidRPr="00811B4E" w:rsidRDefault="00811B4E" w:rsidP="00811B4E"/>
          <w:p w14:paraId="32BCA19E" w14:textId="36AC4959" w:rsidR="00811B4E" w:rsidRDefault="00811B4E" w:rsidP="00811B4E">
            <w:r w:rsidRPr="00811B4E">
              <w:t xml:space="preserve">Patērētājiem netiek ierobežotas tiesības iesniegt sūdzības, netiek mainīts aizsardzības līmenis, netiek samazināta procesa pieejamība. Tieši pretēji – vienots uzraugs finanšu pakalpojumu jomā mazina institucionālo sarežģītību patērētājam, uzlabo prasību piemērošanas konsekvenci, kā arī palielina sūdzību izskatīšanas </w:t>
            </w:r>
            <w:proofErr w:type="spellStart"/>
            <w:r w:rsidRPr="00811B4E">
              <w:t>paredzamību</w:t>
            </w:r>
            <w:proofErr w:type="spellEnd"/>
            <w:r w:rsidRPr="00811B4E">
              <w:t>. Tādēļ patērētāju ietekme ir vērtējama kā neitrāla vai pozitīva sistēmiskā līmenī, pat ja anotācijā tā nav detalizēti aprakstīta atsevišķā sadaļā.</w:t>
            </w:r>
          </w:p>
          <w:p w14:paraId="251879D7" w14:textId="77777777" w:rsidR="00811B4E" w:rsidRDefault="00811B4E" w:rsidP="00762B06"/>
        </w:tc>
        <w:tc>
          <w:tcPr>
            <w:tcW w:w="2949" w:type="dxa"/>
            <w:shd w:val="clear" w:color="auto" w:fill="FFFFFF"/>
            <w:noWrap/>
            <w:tcMar>
              <w:top w:w="75" w:type="dxa"/>
              <w:left w:w="75" w:type="dxa"/>
              <w:bottom w:w="75" w:type="dxa"/>
              <w:right w:w="75" w:type="dxa"/>
            </w:tcMar>
          </w:tcPr>
          <w:p w14:paraId="3706FB68" w14:textId="77777777" w:rsidR="00470F6D" w:rsidRDefault="00470F6D" w:rsidP="00360B15">
            <w:pPr>
              <w:spacing w:after="240"/>
              <w:rPr>
                <w:b/>
              </w:rPr>
            </w:pPr>
            <w:r>
              <w:rPr>
                <w:b/>
              </w:rPr>
              <w:lastRenderedPageBreak/>
              <w:t>Likumprojekts (grozījumi)</w:t>
            </w:r>
          </w:p>
          <w:p w14:paraId="21E79781" w14:textId="419AFD3F" w:rsidR="00470F6D" w:rsidRDefault="00470F6D" w:rsidP="00360B15">
            <w:r>
              <w:t xml:space="preserve">Grozījumi </w:t>
            </w:r>
            <w:r w:rsidR="00B9121D" w:rsidRPr="00B9121D">
              <w:t xml:space="preserve">Preču un pakalpojumu piekļūstamības </w:t>
            </w:r>
            <w:r>
              <w:t>likumā</w:t>
            </w:r>
          </w:p>
        </w:tc>
      </w:tr>
    </w:tbl>
    <w:p w14:paraId="5B6EE59F" w14:textId="77777777" w:rsidR="00F04A11" w:rsidRDefault="00F04A11"/>
    <w:sectPr w:rsidR="00F04A11" w:rsidSect="00470F6D">
      <w:headerReference w:type="default" r:id="rId8"/>
      <w:footerReference w:type="default" r:id="rId9"/>
      <w:headerReference w:type="first" r:id="rId10"/>
      <w:footerReference w:type="first" r:id="rId11"/>
      <w:pgSz w:w="16833" w:h="11908" w:orient="landscape"/>
      <w:pgMar w:top="1133" w:right="1133" w:bottom="1133" w:left="1133"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1E33CD" w14:textId="77777777" w:rsidR="002C6441" w:rsidRDefault="002C6441" w:rsidP="00470F6D">
      <w:r>
        <w:separator/>
      </w:r>
    </w:p>
  </w:endnote>
  <w:endnote w:type="continuationSeparator" w:id="0">
    <w:p w14:paraId="0E5D0810" w14:textId="77777777" w:rsidR="002C6441" w:rsidRDefault="002C6441" w:rsidP="00470F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28D3F2" w14:textId="77777777" w:rsidR="00470F6D" w:rsidRDefault="00470F6D">
    <w:pPr>
      <w:jc w:val="right"/>
    </w:pPr>
    <w:r>
      <w:rPr>
        <w:szCs w:val="24"/>
      </w:rPr>
      <w:fldChar w:fldCharType="begin"/>
    </w:r>
    <w:r>
      <w:rPr>
        <w:szCs w:val="24"/>
      </w:rPr>
      <w:instrText>PAGE</w:instrText>
    </w:r>
    <w:r>
      <w:rPr>
        <w:szCs w:val="24"/>
      </w:rPr>
      <w:fldChar w:fldCharType="separate"/>
    </w:r>
    <w:r>
      <w:rPr>
        <w:noProof/>
        <w:szCs w:val="24"/>
      </w:rPr>
      <w:t>2</w:t>
    </w:r>
    <w:r>
      <w:rPr>
        <w:szCs w:val="2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68F418" w14:textId="77777777" w:rsidR="00470F6D" w:rsidRDefault="00470F6D">
    <w:r>
      <w:cr/>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BA29BF" w14:textId="77777777" w:rsidR="002C6441" w:rsidRDefault="002C6441" w:rsidP="00470F6D">
      <w:r>
        <w:separator/>
      </w:r>
    </w:p>
  </w:footnote>
  <w:footnote w:type="continuationSeparator" w:id="0">
    <w:p w14:paraId="43434972" w14:textId="77777777" w:rsidR="002C6441" w:rsidRDefault="002C6441" w:rsidP="00470F6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B07530" w14:textId="43A1E933" w:rsidR="00470F6D" w:rsidRDefault="00470F6D">
    <w:pPr>
      <w:pStyle w:val="Header"/>
      <w:contextualSpacing w:val="0"/>
    </w:pPr>
    <w:r>
      <w:t>Izziņa 26-TA-74</w:t>
    </w:r>
    <w:r w:rsidR="00B9121D">
      <w:t>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88A4EA" w14:textId="7C0BCABD" w:rsidR="00470F6D" w:rsidRDefault="00470F6D">
    <w:pPr>
      <w:pStyle w:val="Header"/>
      <w:contextualSpacing w:val="0"/>
    </w:pPr>
    <w:r>
      <w:t>Izziņa 26-TA-74</w:t>
    </w:r>
    <w:r w:rsidR="00B9121D">
      <w:t>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A26039"/>
    <w:multiLevelType w:val="multilevel"/>
    <w:tmpl w:val="6A1076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171FDE"/>
    <w:multiLevelType w:val="multilevel"/>
    <w:tmpl w:val="702470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5CA7AC7"/>
    <w:multiLevelType w:val="multilevel"/>
    <w:tmpl w:val="0E226A5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33A61C7F"/>
    <w:multiLevelType w:val="multilevel"/>
    <w:tmpl w:val="CAFEF4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9881C33"/>
    <w:multiLevelType w:val="multilevel"/>
    <w:tmpl w:val="274ACFE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DCA7FC9"/>
    <w:multiLevelType w:val="multilevel"/>
    <w:tmpl w:val="479A4D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B051254"/>
    <w:multiLevelType w:val="multilevel"/>
    <w:tmpl w:val="B7FCD7F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5D0A229C"/>
    <w:multiLevelType w:val="multilevel"/>
    <w:tmpl w:val="DE285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3910C54"/>
    <w:multiLevelType w:val="hybridMultilevel"/>
    <w:tmpl w:val="E140F272"/>
    <w:lvl w:ilvl="0" w:tplc="384C2D3C">
      <w:start w:val="2"/>
      <w:numFmt w:val="decimal"/>
      <w:lvlText w:val="%1."/>
      <w:lvlJc w:val="left"/>
      <w:pPr>
        <w:ind w:left="1440" w:hanging="360"/>
      </w:pPr>
    </w:lvl>
    <w:lvl w:ilvl="1" w:tplc="04260019">
      <w:start w:val="1"/>
      <w:numFmt w:val="lowerLetter"/>
      <w:lvlText w:val="%2."/>
      <w:lvlJc w:val="left"/>
      <w:pPr>
        <w:ind w:left="2160" w:hanging="360"/>
      </w:pPr>
    </w:lvl>
    <w:lvl w:ilvl="2" w:tplc="0426001B">
      <w:start w:val="1"/>
      <w:numFmt w:val="lowerRoman"/>
      <w:lvlText w:val="%3."/>
      <w:lvlJc w:val="right"/>
      <w:pPr>
        <w:ind w:left="2880" w:hanging="180"/>
      </w:pPr>
    </w:lvl>
    <w:lvl w:ilvl="3" w:tplc="0426000F">
      <w:start w:val="1"/>
      <w:numFmt w:val="decimal"/>
      <w:lvlText w:val="%4."/>
      <w:lvlJc w:val="left"/>
      <w:pPr>
        <w:ind w:left="3600" w:hanging="360"/>
      </w:pPr>
    </w:lvl>
    <w:lvl w:ilvl="4" w:tplc="04260019">
      <w:start w:val="1"/>
      <w:numFmt w:val="lowerLetter"/>
      <w:lvlText w:val="%5."/>
      <w:lvlJc w:val="left"/>
      <w:pPr>
        <w:ind w:left="4320" w:hanging="360"/>
      </w:pPr>
    </w:lvl>
    <w:lvl w:ilvl="5" w:tplc="0426001B">
      <w:start w:val="1"/>
      <w:numFmt w:val="lowerRoman"/>
      <w:lvlText w:val="%6."/>
      <w:lvlJc w:val="right"/>
      <w:pPr>
        <w:ind w:left="5040" w:hanging="180"/>
      </w:pPr>
    </w:lvl>
    <w:lvl w:ilvl="6" w:tplc="0426000F">
      <w:start w:val="1"/>
      <w:numFmt w:val="decimal"/>
      <w:lvlText w:val="%7."/>
      <w:lvlJc w:val="left"/>
      <w:pPr>
        <w:ind w:left="5760" w:hanging="360"/>
      </w:pPr>
    </w:lvl>
    <w:lvl w:ilvl="7" w:tplc="04260019">
      <w:start w:val="1"/>
      <w:numFmt w:val="lowerLetter"/>
      <w:lvlText w:val="%8."/>
      <w:lvlJc w:val="left"/>
      <w:pPr>
        <w:ind w:left="6480" w:hanging="360"/>
      </w:pPr>
    </w:lvl>
    <w:lvl w:ilvl="8" w:tplc="0426001B">
      <w:start w:val="1"/>
      <w:numFmt w:val="lowerRoman"/>
      <w:lvlText w:val="%9."/>
      <w:lvlJc w:val="right"/>
      <w:pPr>
        <w:ind w:left="7200" w:hanging="180"/>
      </w:pPr>
    </w:lvl>
  </w:abstractNum>
  <w:abstractNum w:abstractNumId="9" w15:restartNumberingAfterBreak="0">
    <w:nsid w:val="64F26D22"/>
    <w:multiLevelType w:val="multilevel"/>
    <w:tmpl w:val="E6282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D0A422C"/>
    <w:multiLevelType w:val="multilevel"/>
    <w:tmpl w:val="A378D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66501211">
    <w:abstractNumId w:val="4"/>
    <w:lvlOverride w:ilvl="0"/>
    <w:lvlOverride w:ilvl="1">
      <w:startOverride w:val="1"/>
    </w:lvlOverride>
    <w:lvlOverride w:ilvl="2"/>
    <w:lvlOverride w:ilvl="3"/>
    <w:lvlOverride w:ilvl="4"/>
    <w:lvlOverride w:ilvl="5"/>
    <w:lvlOverride w:ilvl="6"/>
    <w:lvlOverride w:ilvl="7"/>
    <w:lvlOverride w:ilvl="8"/>
  </w:num>
  <w:num w:numId="2" w16cid:durableId="261424351">
    <w:abstractNumId w:val="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08128628">
    <w:abstractNumId w:val="2"/>
  </w:num>
  <w:num w:numId="4" w16cid:durableId="746651876">
    <w:abstractNumId w:val="3"/>
  </w:num>
  <w:num w:numId="5" w16cid:durableId="117379229">
    <w:abstractNumId w:val="0"/>
  </w:num>
  <w:num w:numId="6" w16cid:durableId="61103446">
    <w:abstractNumId w:val="1"/>
  </w:num>
  <w:num w:numId="7" w16cid:durableId="156963027">
    <w:abstractNumId w:val="10"/>
  </w:num>
  <w:num w:numId="8" w16cid:durableId="78792941">
    <w:abstractNumId w:val="6"/>
  </w:num>
  <w:num w:numId="9" w16cid:durableId="1657610013">
    <w:abstractNumId w:val="5"/>
  </w:num>
  <w:num w:numId="10" w16cid:durableId="136609502">
    <w:abstractNumId w:val="9"/>
  </w:num>
  <w:num w:numId="11" w16cid:durableId="14627298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0F6D"/>
    <w:rsid w:val="0004412B"/>
    <w:rsid w:val="000873C2"/>
    <w:rsid w:val="000931B1"/>
    <w:rsid w:val="00094BCE"/>
    <w:rsid w:val="00094EDE"/>
    <w:rsid w:val="00293D94"/>
    <w:rsid w:val="002C6441"/>
    <w:rsid w:val="00434067"/>
    <w:rsid w:val="00464822"/>
    <w:rsid w:val="00470F6D"/>
    <w:rsid w:val="00503413"/>
    <w:rsid w:val="00732E60"/>
    <w:rsid w:val="00762B06"/>
    <w:rsid w:val="00811B4E"/>
    <w:rsid w:val="00910B5B"/>
    <w:rsid w:val="009D178C"/>
    <w:rsid w:val="00B9121D"/>
    <w:rsid w:val="00F04A1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5A7686"/>
  <w15:chartTrackingRefBased/>
  <w15:docId w15:val="{287D1559-1776-4116-B01B-9337A77A24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0F6D"/>
    <w:pPr>
      <w:spacing w:after="0" w:line="240" w:lineRule="auto"/>
      <w:jc w:val="both"/>
    </w:pPr>
    <w:rPr>
      <w:rFonts w:ascii="Times New Roman" w:eastAsia="Times New Roman" w:hAnsi="Times New Roman" w:cs="Times New Roman"/>
      <w:color w:val="333333"/>
      <w:kern w:val="0"/>
      <w:szCs w:val="20"/>
      <w:lang w:eastAsia="lv-LV"/>
      <w14:ligatures w14:val="none"/>
    </w:rPr>
  </w:style>
  <w:style w:type="paragraph" w:styleId="Heading1">
    <w:name w:val="heading 1"/>
    <w:basedOn w:val="Normal"/>
    <w:next w:val="Normal"/>
    <w:link w:val="Heading1Char"/>
    <w:uiPriority w:val="9"/>
    <w:qFormat/>
    <w:rsid w:val="00470F6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70F6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70F6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70F6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70F6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70F6D"/>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70F6D"/>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70F6D"/>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70F6D"/>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70F6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70F6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70F6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70F6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70F6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70F6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70F6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70F6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70F6D"/>
    <w:rPr>
      <w:rFonts w:eastAsiaTheme="majorEastAsia" w:cstheme="majorBidi"/>
      <w:color w:val="272727" w:themeColor="text1" w:themeTint="D8"/>
    </w:rPr>
  </w:style>
  <w:style w:type="paragraph" w:styleId="Title">
    <w:name w:val="Title"/>
    <w:basedOn w:val="Normal"/>
    <w:next w:val="Normal"/>
    <w:link w:val="TitleChar"/>
    <w:uiPriority w:val="10"/>
    <w:qFormat/>
    <w:rsid w:val="00470F6D"/>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70F6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70F6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70F6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70F6D"/>
    <w:pPr>
      <w:spacing w:before="160"/>
      <w:jc w:val="center"/>
    </w:pPr>
    <w:rPr>
      <w:i/>
      <w:iCs/>
      <w:color w:val="404040" w:themeColor="text1" w:themeTint="BF"/>
    </w:rPr>
  </w:style>
  <w:style w:type="character" w:customStyle="1" w:styleId="QuoteChar">
    <w:name w:val="Quote Char"/>
    <w:basedOn w:val="DefaultParagraphFont"/>
    <w:link w:val="Quote"/>
    <w:uiPriority w:val="29"/>
    <w:rsid w:val="00470F6D"/>
    <w:rPr>
      <w:i/>
      <w:iCs/>
      <w:color w:val="404040" w:themeColor="text1" w:themeTint="BF"/>
    </w:rPr>
  </w:style>
  <w:style w:type="paragraph" w:styleId="ListParagraph">
    <w:name w:val="List Paragraph"/>
    <w:basedOn w:val="Normal"/>
    <w:uiPriority w:val="34"/>
    <w:qFormat/>
    <w:rsid w:val="00470F6D"/>
    <w:pPr>
      <w:ind w:left="720"/>
      <w:contextualSpacing/>
    </w:pPr>
  </w:style>
  <w:style w:type="character" w:styleId="IntenseEmphasis">
    <w:name w:val="Intense Emphasis"/>
    <w:basedOn w:val="DefaultParagraphFont"/>
    <w:uiPriority w:val="21"/>
    <w:qFormat/>
    <w:rsid w:val="00470F6D"/>
    <w:rPr>
      <w:i/>
      <w:iCs/>
      <w:color w:val="0F4761" w:themeColor="accent1" w:themeShade="BF"/>
    </w:rPr>
  </w:style>
  <w:style w:type="paragraph" w:styleId="IntenseQuote">
    <w:name w:val="Intense Quote"/>
    <w:basedOn w:val="Normal"/>
    <w:next w:val="Normal"/>
    <w:link w:val="IntenseQuoteChar"/>
    <w:uiPriority w:val="30"/>
    <w:qFormat/>
    <w:rsid w:val="00470F6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70F6D"/>
    <w:rPr>
      <w:i/>
      <w:iCs/>
      <w:color w:val="0F4761" w:themeColor="accent1" w:themeShade="BF"/>
    </w:rPr>
  </w:style>
  <w:style w:type="character" w:styleId="IntenseReference">
    <w:name w:val="Intense Reference"/>
    <w:basedOn w:val="DefaultParagraphFont"/>
    <w:uiPriority w:val="32"/>
    <w:qFormat/>
    <w:rsid w:val="00470F6D"/>
    <w:rPr>
      <w:b/>
      <w:bCs/>
      <w:smallCaps/>
      <w:color w:val="0F4761" w:themeColor="accent1" w:themeShade="BF"/>
      <w:spacing w:val="5"/>
    </w:rPr>
  </w:style>
  <w:style w:type="paragraph" w:customStyle="1" w:styleId="paragraph">
    <w:name w:val="paragraph"/>
    <w:basedOn w:val="Normal"/>
    <w:next w:val="Normal"/>
    <w:rsid w:val="00470F6D"/>
    <w:pPr>
      <w:contextualSpacing/>
    </w:pPr>
  </w:style>
  <w:style w:type="paragraph" w:customStyle="1" w:styleId="titleparagraph">
    <w:name w:val="title_paragraph"/>
    <w:basedOn w:val="Normal"/>
    <w:next w:val="Normal"/>
    <w:rsid w:val="00470F6D"/>
    <w:pPr>
      <w:spacing w:after="280"/>
      <w:contextualSpacing/>
    </w:pPr>
    <w:rPr>
      <w:b/>
      <w:sz w:val="28"/>
    </w:rPr>
  </w:style>
  <w:style w:type="paragraph" w:styleId="Header">
    <w:name w:val="header"/>
    <w:basedOn w:val="Normal"/>
    <w:next w:val="Normal"/>
    <w:link w:val="HeaderChar"/>
    <w:rsid w:val="00470F6D"/>
    <w:pPr>
      <w:spacing w:after="280"/>
      <w:contextualSpacing/>
      <w:jc w:val="right"/>
    </w:pPr>
  </w:style>
  <w:style w:type="character" w:customStyle="1" w:styleId="HeaderChar">
    <w:name w:val="Header Char"/>
    <w:basedOn w:val="DefaultParagraphFont"/>
    <w:link w:val="Header"/>
    <w:rsid w:val="00470F6D"/>
    <w:rPr>
      <w:rFonts w:ascii="Times New Roman" w:eastAsia="Times New Roman" w:hAnsi="Times New Roman" w:cs="Times New Roman"/>
      <w:color w:val="333333"/>
      <w:kern w:val="0"/>
      <w:szCs w:val="20"/>
      <w:lang w:eastAsia="lv-LV"/>
      <w14:ligatures w14:val="none"/>
    </w:rPr>
  </w:style>
  <w:style w:type="paragraph" w:customStyle="1" w:styleId="signeddocumentparagraph">
    <w:name w:val="signed_document_paragraph"/>
    <w:basedOn w:val="Normal"/>
    <w:next w:val="Normal"/>
    <w:rsid w:val="00470F6D"/>
    <w:pPr>
      <w:contextualSpacing/>
      <w:jc w:val="right"/>
    </w:pPr>
  </w:style>
  <w:style w:type="paragraph" w:styleId="Footer">
    <w:name w:val="footer"/>
    <w:basedOn w:val="Normal"/>
    <w:link w:val="FooterChar"/>
    <w:uiPriority w:val="99"/>
    <w:unhideWhenUsed/>
    <w:rsid w:val="00470F6D"/>
    <w:pPr>
      <w:tabs>
        <w:tab w:val="center" w:pos="4153"/>
        <w:tab w:val="right" w:pos="8306"/>
      </w:tabs>
    </w:pPr>
  </w:style>
  <w:style w:type="character" w:customStyle="1" w:styleId="FooterChar">
    <w:name w:val="Footer Char"/>
    <w:basedOn w:val="DefaultParagraphFont"/>
    <w:link w:val="Footer"/>
    <w:uiPriority w:val="99"/>
    <w:rsid w:val="00470F6D"/>
    <w:rPr>
      <w:rFonts w:ascii="Times New Roman" w:eastAsia="Times New Roman" w:hAnsi="Times New Roman" w:cs="Times New Roman"/>
      <w:color w:val="333333"/>
      <w:kern w:val="0"/>
      <w:szCs w:val="20"/>
      <w:lang w:eastAsia="lv-LV"/>
      <w14:ligatures w14:val="none"/>
    </w:rPr>
  </w:style>
  <w:style w:type="character" w:styleId="Hyperlink">
    <w:name w:val="Hyperlink"/>
    <w:basedOn w:val="DefaultParagraphFont"/>
    <w:uiPriority w:val="99"/>
    <w:unhideWhenUsed/>
    <w:rsid w:val="00470F6D"/>
    <w:rPr>
      <w:color w:val="467886" w:themeColor="hyperlink"/>
      <w:u w:val="single"/>
    </w:rPr>
  </w:style>
  <w:style w:type="character" w:styleId="CommentReference">
    <w:name w:val="annotation reference"/>
    <w:basedOn w:val="DefaultParagraphFont"/>
    <w:uiPriority w:val="99"/>
    <w:semiHidden/>
    <w:unhideWhenUsed/>
    <w:rsid w:val="00470F6D"/>
    <w:rPr>
      <w:sz w:val="16"/>
      <w:szCs w:val="16"/>
    </w:rPr>
  </w:style>
  <w:style w:type="paragraph" w:styleId="CommentText">
    <w:name w:val="annotation text"/>
    <w:basedOn w:val="Normal"/>
    <w:link w:val="CommentTextChar"/>
    <w:uiPriority w:val="99"/>
    <w:unhideWhenUsed/>
    <w:rsid w:val="00470F6D"/>
    <w:rPr>
      <w:sz w:val="20"/>
    </w:rPr>
  </w:style>
  <w:style w:type="character" w:customStyle="1" w:styleId="CommentTextChar">
    <w:name w:val="Comment Text Char"/>
    <w:basedOn w:val="DefaultParagraphFont"/>
    <w:link w:val="CommentText"/>
    <w:uiPriority w:val="99"/>
    <w:rsid w:val="00470F6D"/>
    <w:rPr>
      <w:rFonts w:ascii="Times New Roman" w:eastAsia="Times New Roman" w:hAnsi="Times New Roman" w:cs="Times New Roman"/>
      <w:color w:val="333333"/>
      <w:kern w:val="0"/>
      <w:sz w:val="20"/>
      <w:szCs w:val="20"/>
      <w:lang w:eastAsia="lv-LV"/>
      <w14:ligatures w14:val="none"/>
    </w:rPr>
  </w:style>
  <w:style w:type="paragraph" w:styleId="CommentSubject">
    <w:name w:val="annotation subject"/>
    <w:basedOn w:val="CommentText"/>
    <w:next w:val="CommentText"/>
    <w:link w:val="CommentSubjectChar"/>
    <w:uiPriority w:val="99"/>
    <w:semiHidden/>
    <w:unhideWhenUsed/>
    <w:rsid w:val="00470F6D"/>
    <w:rPr>
      <w:b/>
      <w:bCs/>
    </w:rPr>
  </w:style>
  <w:style w:type="character" w:customStyle="1" w:styleId="CommentSubjectChar">
    <w:name w:val="Comment Subject Char"/>
    <w:basedOn w:val="CommentTextChar"/>
    <w:link w:val="CommentSubject"/>
    <w:uiPriority w:val="99"/>
    <w:semiHidden/>
    <w:rsid w:val="00470F6D"/>
    <w:rPr>
      <w:rFonts w:ascii="Times New Roman" w:eastAsia="Times New Roman" w:hAnsi="Times New Roman" w:cs="Times New Roman"/>
      <w:b/>
      <w:bCs/>
      <w:color w:val="333333"/>
      <w:kern w:val="0"/>
      <w:sz w:val="20"/>
      <w:szCs w:val="20"/>
      <w:lang w:eastAsia="lv-LV"/>
      <w14:ligatures w14:val="none"/>
    </w:rPr>
  </w:style>
  <w:style w:type="character" w:styleId="Mention">
    <w:name w:val="Mention"/>
    <w:basedOn w:val="DefaultParagraphFont"/>
    <w:uiPriority w:val="99"/>
    <w:unhideWhenUsed/>
    <w:rsid w:val="00470F6D"/>
    <w:rPr>
      <w:color w:val="2B579A"/>
      <w:shd w:val="clear" w:color="auto" w:fill="E1DFDD"/>
    </w:rPr>
  </w:style>
  <w:style w:type="character" w:styleId="UnresolvedMention">
    <w:name w:val="Unresolved Mention"/>
    <w:basedOn w:val="DefaultParagraphFont"/>
    <w:uiPriority w:val="99"/>
    <w:semiHidden/>
    <w:unhideWhenUsed/>
    <w:rsid w:val="00470F6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likumi.lv/ta/id/57980-latvijas-republikas-satversme"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Metadata/LabelInfo.xml><?xml version="1.0" encoding="utf-8"?>
<clbl:labelList xmlns:clbl="http://schemas.microsoft.com/office/2020/mipLabelMetadata">
  <clbl:label id="{1b8a7570-3ec8-4c4e-9532-5dbb2f157b31}" enabled="1" method="Standard" siteId="{fd50a0e4-c289-4266-b7ff-7d9cf5066e91}" removed="0"/>
</clbl:labelList>
</file>

<file path=docProps/app.xml><?xml version="1.0" encoding="utf-8"?>
<Properties xmlns="http://schemas.openxmlformats.org/officeDocument/2006/extended-properties" xmlns:vt="http://schemas.openxmlformats.org/officeDocument/2006/docPropsVTypes">
  <Template>Normal.dotm</Template>
  <TotalTime>12</TotalTime>
  <Pages>9</Pages>
  <Words>11575</Words>
  <Characters>6598</Characters>
  <Application>Microsoft Office Word</Application>
  <DocSecurity>0</DocSecurity>
  <Lines>54</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Liene Jenerte</dc:creator>
  <cp:keywords/>
  <dc:description/>
  <cp:lastModifiedBy>Santa</cp:lastModifiedBy>
  <cp:revision>6</cp:revision>
  <dcterms:created xsi:type="dcterms:W3CDTF">2026-04-24T11:15:00Z</dcterms:created>
  <dcterms:modified xsi:type="dcterms:W3CDTF">2026-04-28T10:52:00Z</dcterms:modified>
</cp:coreProperties>
</file>