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4F5A4" w14:textId="77777777" w:rsidR="00E87B51" w:rsidRDefault="00E87B51" w:rsidP="00F54EFF">
      <w:pPr>
        <w:jc w:val="right"/>
        <w:rPr>
          <w:b/>
          <w:sz w:val="22"/>
          <w:szCs w:val="22"/>
          <w:lang w:eastAsia="lv-LV"/>
        </w:rPr>
      </w:pPr>
    </w:p>
    <w:p w14:paraId="6ED086D9" w14:textId="06CF470A" w:rsidR="00F54EFF" w:rsidRPr="001B4D23" w:rsidRDefault="00F54EFF" w:rsidP="00F54EFF">
      <w:pPr>
        <w:jc w:val="right"/>
        <w:rPr>
          <w:b/>
          <w:sz w:val="22"/>
          <w:szCs w:val="22"/>
          <w:lang w:eastAsia="lv-LV"/>
        </w:rPr>
      </w:pPr>
      <w:r w:rsidRPr="001B4D23">
        <w:rPr>
          <w:b/>
          <w:sz w:val="22"/>
          <w:szCs w:val="22"/>
          <w:lang w:eastAsia="lv-LV"/>
        </w:rPr>
        <w:t>Finanšu ministrijai</w:t>
      </w:r>
    </w:p>
    <w:p w14:paraId="50D22120" w14:textId="77777777" w:rsidR="00F54EFF" w:rsidRPr="001B4D23" w:rsidRDefault="00F54EFF" w:rsidP="00F54EFF">
      <w:pPr>
        <w:jc w:val="right"/>
        <w:rPr>
          <w:i/>
          <w:sz w:val="22"/>
          <w:szCs w:val="22"/>
          <w:lang w:eastAsia="lv-LV"/>
        </w:rPr>
      </w:pPr>
      <w:r w:rsidRPr="001B4D23">
        <w:rPr>
          <w:i/>
          <w:sz w:val="22"/>
          <w:szCs w:val="22"/>
          <w:bdr w:val="none" w:sz="0" w:space="0" w:color="auto" w:frame="1"/>
        </w:rPr>
        <w:t>pasts@fm.gov.lv</w:t>
      </w:r>
    </w:p>
    <w:p w14:paraId="284DB0DA" w14:textId="31DC3C80" w:rsidR="00F54EFF" w:rsidRDefault="00F54EFF" w:rsidP="00F54EFF">
      <w:pPr>
        <w:tabs>
          <w:tab w:val="left" w:pos="426"/>
          <w:tab w:val="left" w:pos="9214"/>
        </w:tabs>
        <w:rPr>
          <w:i/>
          <w:sz w:val="22"/>
          <w:szCs w:val="22"/>
        </w:rPr>
      </w:pPr>
    </w:p>
    <w:p w14:paraId="6909C786" w14:textId="0395E4F3" w:rsidR="00905A05" w:rsidRDefault="00905A05" w:rsidP="00F54EFF">
      <w:pPr>
        <w:tabs>
          <w:tab w:val="left" w:pos="426"/>
          <w:tab w:val="left" w:pos="9214"/>
        </w:tabs>
        <w:rPr>
          <w:sz w:val="22"/>
          <w:szCs w:val="22"/>
        </w:rPr>
      </w:pPr>
      <w:r>
        <w:rPr>
          <w:sz w:val="22"/>
          <w:szCs w:val="22"/>
        </w:rPr>
        <w:t>Rīga, 2022. gada 03. novembrī, Nr. 20221103-1</w:t>
      </w:r>
    </w:p>
    <w:p w14:paraId="287CDDD3" w14:textId="5956AD2F" w:rsidR="00905A05" w:rsidRDefault="00905A05" w:rsidP="00F54EFF">
      <w:pPr>
        <w:tabs>
          <w:tab w:val="left" w:pos="426"/>
          <w:tab w:val="left" w:pos="9214"/>
        </w:tabs>
        <w:rPr>
          <w:sz w:val="22"/>
          <w:szCs w:val="22"/>
        </w:rPr>
      </w:pPr>
    </w:p>
    <w:p w14:paraId="6D3ED37D" w14:textId="77777777" w:rsidR="00905A05" w:rsidRPr="00905A05" w:rsidRDefault="00905A05" w:rsidP="00F54EFF">
      <w:pPr>
        <w:tabs>
          <w:tab w:val="left" w:pos="426"/>
          <w:tab w:val="left" w:pos="9214"/>
        </w:tabs>
        <w:rPr>
          <w:sz w:val="22"/>
          <w:szCs w:val="22"/>
        </w:rPr>
      </w:pPr>
    </w:p>
    <w:p w14:paraId="47866812" w14:textId="77777777" w:rsidR="00F54EFF" w:rsidRPr="00905A05" w:rsidRDefault="00F54EFF" w:rsidP="00F54EFF">
      <w:pPr>
        <w:tabs>
          <w:tab w:val="left" w:pos="426"/>
          <w:tab w:val="left" w:pos="9214"/>
        </w:tabs>
        <w:rPr>
          <w:b/>
          <w:i/>
          <w:sz w:val="22"/>
          <w:szCs w:val="22"/>
        </w:rPr>
      </w:pPr>
      <w:r w:rsidRPr="00905A05">
        <w:rPr>
          <w:b/>
          <w:i/>
          <w:sz w:val="22"/>
          <w:szCs w:val="22"/>
        </w:rPr>
        <w:t xml:space="preserve">Par likumprojektu „Grozījumi Sauszemes transportlīdzekļu </w:t>
      </w:r>
    </w:p>
    <w:p w14:paraId="68A86C91" w14:textId="0A33BCC5" w:rsidR="00F54EFF" w:rsidRPr="00905A05" w:rsidRDefault="00F54EFF" w:rsidP="00905A05">
      <w:pPr>
        <w:tabs>
          <w:tab w:val="left" w:pos="426"/>
          <w:tab w:val="left" w:pos="9214"/>
        </w:tabs>
        <w:rPr>
          <w:b/>
          <w:i/>
          <w:sz w:val="22"/>
          <w:szCs w:val="22"/>
        </w:rPr>
      </w:pPr>
      <w:r w:rsidRPr="00905A05">
        <w:rPr>
          <w:b/>
          <w:i/>
          <w:sz w:val="22"/>
          <w:szCs w:val="22"/>
        </w:rPr>
        <w:t xml:space="preserve">īpašnieku civiltiesiskās atbildības obligātās apdrošināšanas likumā” </w:t>
      </w:r>
      <w:r w:rsidR="003C5DFF" w:rsidRPr="003C5DFF">
        <w:rPr>
          <w:b/>
          <w:i/>
          <w:sz w:val="22"/>
          <w:szCs w:val="22"/>
        </w:rPr>
        <w:t>(30.07.2020. Nr.30 5.§, VSS-617),</w:t>
      </w:r>
    </w:p>
    <w:p w14:paraId="30FD257D" w14:textId="7A93F503" w:rsidR="00F54EFF" w:rsidRDefault="00F54EFF" w:rsidP="00F54EFF">
      <w:pPr>
        <w:tabs>
          <w:tab w:val="left" w:pos="426"/>
          <w:tab w:val="left" w:pos="9214"/>
        </w:tabs>
        <w:jc w:val="both"/>
        <w:rPr>
          <w:sz w:val="22"/>
          <w:szCs w:val="22"/>
        </w:rPr>
      </w:pPr>
    </w:p>
    <w:p w14:paraId="192B74AB" w14:textId="13F700F9" w:rsidR="00F54EFF" w:rsidRDefault="00F54EFF" w:rsidP="00F54EFF">
      <w:pPr>
        <w:tabs>
          <w:tab w:val="left" w:pos="426"/>
          <w:tab w:val="left" w:pos="9214"/>
        </w:tabs>
        <w:jc w:val="both"/>
        <w:rPr>
          <w:sz w:val="22"/>
          <w:szCs w:val="22"/>
        </w:rPr>
      </w:pPr>
    </w:p>
    <w:p w14:paraId="05ED1459" w14:textId="11DBB641" w:rsidR="00F54EFF" w:rsidRDefault="00F54EFF" w:rsidP="00F54EFF">
      <w:pPr>
        <w:tabs>
          <w:tab w:val="left" w:pos="426"/>
          <w:tab w:val="left" w:pos="9214"/>
        </w:tabs>
        <w:jc w:val="both"/>
        <w:rPr>
          <w:sz w:val="22"/>
          <w:szCs w:val="22"/>
        </w:rPr>
      </w:pPr>
      <w:r>
        <w:rPr>
          <w:sz w:val="22"/>
          <w:szCs w:val="22"/>
        </w:rPr>
        <w:t xml:space="preserve">LPABA atbalsta likumprojekta iniciatīvas ideju, ka LTAB pārvaldības kārtībā </w:t>
      </w:r>
      <w:r w:rsidR="003D05DD">
        <w:rPr>
          <w:sz w:val="22"/>
          <w:szCs w:val="22"/>
        </w:rPr>
        <w:t xml:space="preserve">un vadības veidošanas principos </w:t>
      </w:r>
      <w:r>
        <w:rPr>
          <w:sz w:val="22"/>
          <w:szCs w:val="22"/>
        </w:rPr>
        <w:t xml:space="preserve">ir vajadzīgi grozījumi. LPABA ieskatā piedāvātie </w:t>
      </w:r>
      <w:r w:rsidRPr="00F54EFF">
        <w:rPr>
          <w:sz w:val="22"/>
          <w:szCs w:val="22"/>
        </w:rPr>
        <w:t>Grozījumi Sauszemes transportlīdzekļu īpašnieku civiltiesiskās atbildības obligātās apdrošināšanas likumā”</w:t>
      </w:r>
      <w:r>
        <w:rPr>
          <w:sz w:val="22"/>
          <w:szCs w:val="22"/>
        </w:rPr>
        <w:t xml:space="preserve"> (turpmāk OCTA) nerisina šo jautājumu pietiekamā apjomā.</w:t>
      </w:r>
    </w:p>
    <w:p w14:paraId="18DFDD05" w14:textId="5F2ED9AA" w:rsidR="00F54EFF" w:rsidRDefault="00F54EFF" w:rsidP="00F54EFF">
      <w:pPr>
        <w:tabs>
          <w:tab w:val="left" w:pos="426"/>
          <w:tab w:val="left" w:pos="9214"/>
        </w:tabs>
        <w:jc w:val="both"/>
        <w:rPr>
          <w:sz w:val="22"/>
          <w:szCs w:val="22"/>
        </w:rPr>
      </w:pPr>
    </w:p>
    <w:p w14:paraId="7F2077FC" w14:textId="29BCB958" w:rsidR="00F54EFF" w:rsidRDefault="00F54EFF" w:rsidP="00F54EFF">
      <w:pPr>
        <w:tabs>
          <w:tab w:val="left" w:pos="426"/>
          <w:tab w:val="left" w:pos="9214"/>
        </w:tabs>
        <w:jc w:val="both"/>
        <w:rPr>
          <w:sz w:val="22"/>
          <w:szCs w:val="22"/>
        </w:rPr>
      </w:pPr>
      <w:r>
        <w:rPr>
          <w:sz w:val="22"/>
          <w:szCs w:val="22"/>
        </w:rPr>
        <w:t>44.panta pirmo daļu piedāvāts izteikt šādā redakcijā: “</w:t>
      </w:r>
      <w:r w:rsidRPr="00F54EFF">
        <w:rPr>
          <w:i/>
          <w:iCs/>
          <w:sz w:val="22"/>
          <w:szCs w:val="22"/>
        </w:rPr>
        <w:t>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r w:rsidRPr="00FC375F">
        <w:rPr>
          <w:i/>
          <w:iCs/>
          <w:sz w:val="22"/>
          <w:szCs w:val="22"/>
        </w:rPr>
        <w:t>.</w:t>
      </w:r>
      <w:r>
        <w:rPr>
          <w:sz w:val="22"/>
          <w:szCs w:val="22"/>
        </w:rPr>
        <w:t>”</w:t>
      </w:r>
    </w:p>
    <w:p w14:paraId="23612839" w14:textId="77777777" w:rsidR="00F54EFF" w:rsidRDefault="00F54EFF" w:rsidP="00F54EFF">
      <w:pPr>
        <w:tabs>
          <w:tab w:val="left" w:pos="426"/>
          <w:tab w:val="left" w:pos="9214"/>
        </w:tabs>
        <w:jc w:val="both"/>
        <w:rPr>
          <w:sz w:val="22"/>
          <w:szCs w:val="22"/>
        </w:rPr>
      </w:pPr>
    </w:p>
    <w:p w14:paraId="10234C38" w14:textId="253CD2F9" w:rsidR="00F54EFF" w:rsidRDefault="00F54EFF" w:rsidP="00F54EFF">
      <w:pPr>
        <w:tabs>
          <w:tab w:val="left" w:pos="426"/>
          <w:tab w:val="left" w:pos="9214"/>
        </w:tabs>
        <w:jc w:val="both"/>
        <w:rPr>
          <w:sz w:val="22"/>
          <w:szCs w:val="22"/>
        </w:rPr>
      </w:pPr>
      <w:r>
        <w:rPr>
          <w:sz w:val="22"/>
          <w:szCs w:val="22"/>
        </w:rPr>
        <w:t>Šī brīža esošajā (de facto) sistēmā LTAB ir apdrošinātāju interešu aizsardzības organizācija, kurai ar likumu uzlikts vēl papildus par pienākumu maksāt kompensācijas tiem ceļu satiksmes negadījumos cietušajiem, kuriem zaudējumus nodarījuši neapdrošināti transporta līdzekļi</w:t>
      </w:r>
      <w:r w:rsidR="00CC710E">
        <w:rPr>
          <w:sz w:val="22"/>
          <w:szCs w:val="22"/>
        </w:rPr>
        <w:t xml:space="preserve"> un dele</w:t>
      </w:r>
      <w:r w:rsidR="003D05DD">
        <w:rPr>
          <w:sz w:val="22"/>
          <w:szCs w:val="22"/>
        </w:rPr>
        <w:t>ģ</w:t>
      </w:r>
      <w:r w:rsidR="00CC710E">
        <w:rPr>
          <w:sz w:val="22"/>
          <w:szCs w:val="22"/>
        </w:rPr>
        <w:t>ētas</w:t>
      </w:r>
      <w:r w:rsidR="003D05DD">
        <w:rPr>
          <w:sz w:val="22"/>
          <w:szCs w:val="22"/>
        </w:rPr>
        <w:t xml:space="preserve"> vēl citas valsts pārvaldības funkcijas.</w:t>
      </w:r>
    </w:p>
    <w:p w14:paraId="4606D2A9" w14:textId="0ECC675A" w:rsidR="00F54EFF" w:rsidRDefault="00F54EFF" w:rsidP="00F54EFF">
      <w:pPr>
        <w:tabs>
          <w:tab w:val="left" w:pos="426"/>
          <w:tab w:val="left" w:pos="9214"/>
        </w:tabs>
        <w:jc w:val="both"/>
        <w:rPr>
          <w:sz w:val="22"/>
          <w:szCs w:val="22"/>
        </w:rPr>
      </w:pPr>
    </w:p>
    <w:p w14:paraId="52A5A5E3" w14:textId="3821E898" w:rsidR="00F54EFF" w:rsidRDefault="00F54EFF" w:rsidP="00F54EFF">
      <w:pPr>
        <w:tabs>
          <w:tab w:val="left" w:pos="426"/>
          <w:tab w:val="left" w:pos="9214"/>
        </w:tabs>
        <w:jc w:val="both"/>
        <w:rPr>
          <w:sz w:val="22"/>
          <w:szCs w:val="22"/>
        </w:rPr>
      </w:pPr>
      <w:r>
        <w:rPr>
          <w:sz w:val="22"/>
          <w:szCs w:val="22"/>
        </w:rPr>
        <w:t xml:space="preserve">Bez tam vēl LTAB pilda tādu kā Ombuda aizvietotājfunkciju vai tiesas aizvietotājfunkciju pieņemot lēmumus par to kā ir sadalāma vainas pakāpe un attiecīgi OCTA atlīdzība ceļu satiksmes negadījumos un kā ir aprēķināma atlīdzība strīdīgos gadījumos un vai atlīdzība vispār pienākas. </w:t>
      </w:r>
    </w:p>
    <w:p w14:paraId="07E4E17E" w14:textId="72AB632E" w:rsidR="00F54EFF" w:rsidRDefault="00F54EFF" w:rsidP="00F54EFF">
      <w:pPr>
        <w:tabs>
          <w:tab w:val="left" w:pos="426"/>
          <w:tab w:val="left" w:pos="9214"/>
        </w:tabs>
        <w:jc w:val="both"/>
        <w:rPr>
          <w:sz w:val="22"/>
          <w:szCs w:val="22"/>
        </w:rPr>
      </w:pPr>
    </w:p>
    <w:p w14:paraId="1205B57D" w14:textId="5483BE08" w:rsidR="00B251F1" w:rsidRDefault="00F54EFF" w:rsidP="00F54EFF">
      <w:pPr>
        <w:tabs>
          <w:tab w:val="left" w:pos="426"/>
          <w:tab w:val="left" w:pos="9214"/>
        </w:tabs>
        <w:jc w:val="both"/>
        <w:rPr>
          <w:sz w:val="22"/>
          <w:szCs w:val="22"/>
        </w:rPr>
      </w:pPr>
      <w:r>
        <w:rPr>
          <w:sz w:val="22"/>
          <w:szCs w:val="22"/>
        </w:rPr>
        <w:t xml:space="preserve">Šī cietušo interešu aizstāvības funkcija un nosacītā “šķīrējtiesas funkcija” prasa bezpartejisku organizāciju, kamēr LTAB šī brīža </w:t>
      </w:r>
      <w:r w:rsidR="00B251F1">
        <w:rPr>
          <w:sz w:val="22"/>
          <w:szCs w:val="22"/>
        </w:rPr>
        <w:t>izpildījumā ir apdrošinātāju intereses aizstāvoša organizācija. Piedāvātās likuma izmaiņas šo problēmu nerisina. Kā minimums ir  OCTA likumā ir jānovērš šīs interešu konflikta iespējas noliedzot iespēju vienai un tai pašai personai pārstāvēt apdrošinātāju intereses un būt par LTAB amatpersonu.</w:t>
      </w:r>
    </w:p>
    <w:p w14:paraId="5D1E100C" w14:textId="17392724" w:rsidR="00B251F1" w:rsidRDefault="00B251F1" w:rsidP="00F54EFF">
      <w:pPr>
        <w:tabs>
          <w:tab w:val="left" w:pos="426"/>
          <w:tab w:val="left" w:pos="9214"/>
        </w:tabs>
        <w:jc w:val="both"/>
        <w:rPr>
          <w:sz w:val="22"/>
          <w:szCs w:val="22"/>
        </w:rPr>
      </w:pPr>
      <w:r>
        <w:rPr>
          <w:sz w:val="22"/>
          <w:szCs w:val="22"/>
        </w:rPr>
        <w:t>Tāpat arī ir jāizvērtē apdrošinātāju ietekme uz LTAB budžeta plānošanu un tērēšanu tieši apdrošinātāju interešu īstenošanai gan reklāmas un sabiedrisko attiecību jomā gan citās jomās. Līdz šim tiek maldīgi uzskatīts, ka LTAB darbību finansē apdrošinātāji</w:t>
      </w:r>
      <w:r w:rsidR="003D05DD">
        <w:rPr>
          <w:sz w:val="22"/>
          <w:szCs w:val="22"/>
        </w:rPr>
        <w:t xml:space="preserve"> u</w:t>
      </w:r>
      <w:r>
        <w:rPr>
          <w:sz w:val="22"/>
          <w:szCs w:val="22"/>
        </w:rPr>
        <w:t xml:space="preserve">n tāpēc viņiem it kā pienāktos tiesības lemt par LTAB līdzekļu izmantojumu. Tas tā nav. </w:t>
      </w:r>
      <w:r w:rsidRPr="003D05DD">
        <w:rPr>
          <w:b/>
          <w:bCs/>
          <w:sz w:val="22"/>
          <w:szCs w:val="22"/>
        </w:rPr>
        <w:t>LTAB tiek finansēts no OCTA prēmiju atskaitījumiem un tātad LTAB tiek finansēts no apdrošinājuma ņēmēju līdzekļiem</w:t>
      </w:r>
      <w:r>
        <w:rPr>
          <w:sz w:val="22"/>
          <w:szCs w:val="22"/>
        </w:rPr>
        <w:t xml:space="preserve">. </w:t>
      </w:r>
    </w:p>
    <w:p w14:paraId="5D2478F1" w14:textId="18BF7714" w:rsidR="00B251F1" w:rsidRDefault="00B251F1" w:rsidP="00F54EFF">
      <w:pPr>
        <w:tabs>
          <w:tab w:val="left" w:pos="426"/>
          <w:tab w:val="left" w:pos="9214"/>
        </w:tabs>
        <w:jc w:val="both"/>
        <w:rPr>
          <w:sz w:val="22"/>
          <w:szCs w:val="22"/>
        </w:rPr>
      </w:pPr>
      <w:r>
        <w:rPr>
          <w:sz w:val="22"/>
          <w:szCs w:val="22"/>
        </w:rPr>
        <w:t>LPABA ieskatā ir būtiski jāpaplašina apdrošinājuma ņēmēju pārstāvniecība LTAB pārvaldībā panākot kā minumus paritāti starp apdrošinājuma ņēmējiem un apdrošinātājiem ar Finanšu ministrijas vai Latvijas Bankas pārstāvi, kā neitrālo pusi ar izšķirošo balsi biedru sapulcēs vai arī LTAB valdē vai padomē.</w:t>
      </w:r>
    </w:p>
    <w:p w14:paraId="009CA1C7" w14:textId="77777777" w:rsidR="00F54EFF" w:rsidRDefault="00F54EFF" w:rsidP="00F54EFF">
      <w:pPr>
        <w:tabs>
          <w:tab w:val="left" w:pos="426"/>
          <w:tab w:val="left" w:pos="9214"/>
        </w:tabs>
        <w:jc w:val="both"/>
        <w:rPr>
          <w:sz w:val="22"/>
          <w:szCs w:val="22"/>
        </w:rPr>
      </w:pPr>
    </w:p>
    <w:p w14:paraId="45BAB1FC" w14:textId="65272399" w:rsidR="00B251F1" w:rsidRDefault="00B251F1" w:rsidP="00F54EFF">
      <w:pPr>
        <w:tabs>
          <w:tab w:val="left" w:pos="426"/>
          <w:tab w:val="left" w:pos="9214"/>
        </w:tabs>
        <w:jc w:val="both"/>
        <w:rPr>
          <w:sz w:val="22"/>
          <w:szCs w:val="22"/>
        </w:rPr>
      </w:pPr>
      <w:r>
        <w:rPr>
          <w:sz w:val="22"/>
          <w:szCs w:val="22"/>
        </w:rPr>
        <w:lastRenderedPageBreak/>
        <w:t xml:space="preserve">LPABA vērtējumā piedāvātais </w:t>
      </w:r>
      <w:r w:rsidR="00F54EFF">
        <w:rPr>
          <w:sz w:val="22"/>
          <w:szCs w:val="22"/>
        </w:rPr>
        <w:t xml:space="preserve">47.panta trešās daļas risinājums, uzticot </w:t>
      </w:r>
      <w:r w:rsidR="00F54EFF" w:rsidRPr="00386961">
        <w:rPr>
          <w:sz w:val="22"/>
          <w:szCs w:val="22"/>
        </w:rPr>
        <w:t xml:space="preserve">prasības </w:t>
      </w:r>
      <w:r w:rsidR="00F54EFF">
        <w:rPr>
          <w:sz w:val="22"/>
          <w:szCs w:val="22"/>
        </w:rPr>
        <w:t>LTAB</w:t>
      </w:r>
      <w:r w:rsidR="00F54EFF" w:rsidRPr="00386961">
        <w:rPr>
          <w:sz w:val="22"/>
          <w:szCs w:val="22"/>
        </w:rPr>
        <w:t xml:space="preserve"> valdes locekļu atbilstības un piemērotības novērtēšanai</w:t>
      </w:r>
      <w:r w:rsidR="00F54EFF">
        <w:rPr>
          <w:sz w:val="22"/>
          <w:szCs w:val="22"/>
        </w:rPr>
        <w:t xml:space="preserve"> izstrādāt un apstiprināt pašam LTAB</w:t>
      </w:r>
      <w:r>
        <w:rPr>
          <w:sz w:val="22"/>
          <w:szCs w:val="22"/>
        </w:rPr>
        <w:t xml:space="preserve"> ir ne</w:t>
      </w:r>
      <w:r w:rsidR="003D05DD">
        <w:rPr>
          <w:sz w:val="22"/>
          <w:szCs w:val="22"/>
        </w:rPr>
        <w:t>atbilstošs</w:t>
      </w:r>
      <w:r>
        <w:rPr>
          <w:sz w:val="22"/>
          <w:szCs w:val="22"/>
        </w:rPr>
        <w:t xml:space="preserve"> labas pārvaldības principiem, jo liek pēc būtības liek valdei pašai lemt par savu atbilstību un piemērotību.</w:t>
      </w:r>
      <w:r w:rsidR="007B16CA">
        <w:rPr>
          <w:sz w:val="22"/>
          <w:szCs w:val="22"/>
        </w:rPr>
        <w:t xml:space="preserve"> Šī funkcija ir jādeleģē vai nu speciāli ieceltai padomei vai arī Finanšu ministrijai vai Latvijas Bankai.</w:t>
      </w:r>
    </w:p>
    <w:p w14:paraId="66AE1923" w14:textId="4007393E" w:rsidR="007B16CA" w:rsidRDefault="007B16CA" w:rsidP="00F54EFF">
      <w:pPr>
        <w:tabs>
          <w:tab w:val="left" w:pos="426"/>
          <w:tab w:val="left" w:pos="9214"/>
        </w:tabs>
        <w:jc w:val="both"/>
        <w:rPr>
          <w:sz w:val="22"/>
          <w:szCs w:val="22"/>
        </w:rPr>
      </w:pPr>
    </w:p>
    <w:p w14:paraId="702BDE15" w14:textId="5DF3AE4F" w:rsidR="007B16CA" w:rsidRDefault="007B16CA" w:rsidP="00F54EFF">
      <w:pPr>
        <w:tabs>
          <w:tab w:val="left" w:pos="426"/>
          <w:tab w:val="left" w:pos="9214"/>
        </w:tabs>
        <w:jc w:val="both"/>
        <w:rPr>
          <w:sz w:val="22"/>
          <w:szCs w:val="22"/>
        </w:rPr>
      </w:pPr>
    </w:p>
    <w:p w14:paraId="6872EF14" w14:textId="70859380" w:rsidR="007B16CA" w:rsidRDefault="007B16CA" w:rsidP="00F54EFF">
      <w:pPr>
        <w:tabs>
          <w:tab w:val="left" w:pos="426"/>
          <w:tab w:val="left" w:pos="9214"/>
        </w:tabs>
        <w:jc w:val="both"/>
        <w:rPr>
          <w:sz w:val="22"/>
          <w:szCs w:val="22"/>
        </w:rPr>
      </w:pPr>
      <w:r>
        <w:rPr>
          <w:sz w:val="22"/>
          <w:szCs w:val="22"/>
        </w:rPr>
        <w:t>Tā kā LTAB ir deleģēti valsts pārvaldes pienākumi un LTAB tiek finansēts no apdrošinājuma ņēmēju līdzekļiem obligāto OCTA apdrošināšanas prēmiju atskaitījumu veidā, un, tā kā LTAB pēc būtības darbojas arī kā apdrošināšanas sabiedrība, tad LTAB valde būtu jāieceļ Finanšu ministrijai vai Latvijas Bankai un LTAB darbības uzraudzība būtu jāveic Latvijas Bankai, kura no 2023 gada veiks apdrošināšanas sabiedrību darbības uzraudzību.</w:t>
      </w:r>
    </w:p>
    <w:p w14:paraId="22AA0E2A" w14:textId="77777777" w:rsidR="00B251F1" w:rsidRDefault="00B251F1" w:rsidP="00F54EFF">
      <w:pPr>
        <w:tabs>
          <w:tab w:val="left" w:pos="426"/>
          <w:tab w:val="left" w:pos="9214"/>
        </w:tabs>
        <w:jc w:val="both"/>
        <w:rPr>
          <w:sz w:val="22"/>
          <w:szCs w:val="22"/>
        </w:rPr>
      </w:pPr>
    </w:p>
    <w:p w14:paraId="097E945C" w14:textId="4F78854B" w:rsidR="00F54EFF" w:rsidRDefault="00F54EFF" w:rsidP="00F54EFF">
      <w:pPr>
        <w:tabs>
          <w:tab w:val="left" w:pos="426"/>
          <w:tab w:val="left" w:pos="9214"/>
        </w:tabs>
        <w:jc w:val="both"/>
        <w:rPr>
          <w:sz w:val="22"/>
          <w:szCs w:val="22"/>
        </w:rPr>
      </w:pPr>
    </w:p>
    <w:p w14:paraId="5D9E6862" w14:textId="291745F5" w:rsidR="007B16CA" w:rsidRDefault="007B16CA" w:rsidP="00F54EFF">
      <w:pPr>
        <w:tabs>
          <w:tab w:val="left" w:pos="426"/>
          <w:tab w:val="left" w:pos="9214"/>
        </w:tabs>
        <w:jc w:val="both"/>
        <w:rPr>
          <w:sz w:val="22"/>
          <w:szCs w:val="22"/>
        </w:rPr>
      </w:pPr>
      <w:r>
        <w:rPr>
          <w:sz w:val="22"/>
          <w:szCs w:val="22"/>
        </w:rPr>
        <w:t xml:space="preserve">LPABA neatbalsta </w:t>
      </w:r>
      <w:r w:rsidR="003D05DD">
        <w:rPr>
          <w:sz w:val="22"/>
          <w:szCs w:val="22"/>
        </w:rPr>
        <w:t>piedāvāto grozījumu 28 pantā (evakuācija), kur tiek piedāvāts kompensēt cietošo pēc šāda principa: “…</w:t>
      </w:r>
      <w:r w:rsidR="003D05DD" w:rsidRPr="003D05DD">
        <w:rPr>
          <w:sz w:val="22"/>
          <w:szCs w:val="22"/>
        </w:rPr>
        <w:t>zaudējumos ieskaita ekonomiski pamatotus izdevumus:</w:t>
      </w:r>
      <w:r w:rsidR="003D05DD">
        <w:rPr>
          <w:sz w:val="22"/>
          <w:szCs w:val="22"/>
        </w:rPr>
        <w:t>…”. LPABA piedāvā šo frāzi izņemt no likumprojekta, jo tā ievieš ievērojamu patvaļas iespēju no apdrošinātāju puses atlīdzību aprēķināšanā un izmaksāšanā, kas var tikt izmantota ļaunprātīgi pret mazāk aizsargāto pusei – cietušajiem.</w:t>
      </w:r>
    </w:p>
    <w:p w14:paraId="19902BB6" w14:textId="77777777" w:rsidR="007B16CA" w:rsidRDefault="007B16CA" w:rsidP="00F54EFF">
      <w:pPr>
        <w:tabs>
          <w:tab w:val="left" w:pos="426"/>
          <w:tab w:val="left" w:pos="9214"/>
        </w:tabs>
        <w:jc w:val="both"/>
        <w:rPr>
          <w:sz w:val="22"/>
          <w:szCs w:val="22"/>
        </w:rPr>
      </w:pPr>
    </w:p>
    <w:p w14:paraId="3F388185" w14:textId="77777777" w:rsidR="003D05DD" w:rsidRDefault="003D05DD" w:rsidP="00F54EFF">
      <w:pPr>
        <w:jc w:val="both"/>
        <w:rPr>
          <w:color w:val="252525"/>
          <w:sz w:val="22"/>
          <w:szCs w:val="22"/>
        </w:rPr>
      </w:pPr>
    </w:p>
    <w:p w14:paraId="6A602291" w14:textId="77777777" w:rsidR="003D05DD" w:rsidRDefault="003D05DD" w:rsidP="00F54EFF">
      <w:pPr>
        <w:jc w:val="both"/>
        <w:rPr>
          <w:color w:val="252525"/>
          <w:sz w:val="22"/>
          <w:szCs w:val="22"/>
        </w:rPr>
      </w:pPr>
    </w:p>
    <w:p w14:paraId="580E3C07" w14:textId="3AC593E2" w:rsidR="00F54EFF" w:rsidRPr="00AB63F6" w:rsidRDefault="007D44F9" w:rsidP="00F54EFF">
      <w:pPr>
        <w:jc w:val="both"/>
        <w:rPr>
          <w:color w:val="252525"/>
          <w:sz w:val="22"/>
          <w:szCs w:val="22"/>
        </w:rPr>
      </w:pPr>
      <w:r>
        <w:rPr>
          <w:color w:val="252525"/>
          <w:sz w:val="22"/>
          <w:szCs w:val="22"/>
        </w:rPr>
        <w:t>Ar cieņu</w:t>
      </w:r>
    </w:p>
    <w:p w14:paraId="5FD50F6E" w14:textId="6ABB421C" w:rsidR="00FC111D" w:rsidRDefault="003D05DD">
      <w:r>
        <w:t>Agris Auce</w:t>
      </w:r>
    </w:p>
    <w:p w14:paraId="2CE41872" w14:textId="18402924" w:rsidR="003D05DD" w:rsidRDefault="003D05DD">
      <w:r>
        <w:t>LPABA valdes pr-js</w:t>
      </w:r>
    </w:p>
    <w:p w14:paraId="707711EF" w14:textId="22F7DF15" w:rsidR="007D44F9" w:rsidRDefault="007D44F9"/>
    <w:p w14:paraId="1A35F9C7" w14:textId="4A3B9F98" w:rsidR="007D44F9" w:rsidRDefault="007D44F9" w:rsidP="007D44F9">
      <w:pPr>
        <w:jc w:val="both"/>
      </w:pPr>
      <w:r w:rsidRPr="007D44F9">
        <w:t>ŠIS DOKUMENTS IR ELEKTRONISKI PARAKSTĪTS AR DROŠU ELEKTRONISKO PARAKSTU UN SATUR LAIKA ZĪMOGU</w:t>
      </w:r>
    </w:p>
    <w:sectPr w:rsidR="007D44F9" w:rsidSect="006C1E1F">
      <w:headerReference w:type="default" r:id="rId6"/>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7D8F7" w14:textId="77777777" w:rsidR="00132CA4" w:rsidRDefault="00132CA4" w:rsidP="00E87B51">
      <w:r>
        <w:separator/>
      </w:r>
    </w:p>
  </w:endnote>
  <w:endnote w:type="continuationSeparator" w:id="0">
    <w:p w14:paraId="45D225DF" w14:textId="77777777" w:rsidR="00132CA4" w:rsidRDefault="00132CA4" w:rsidP="00E8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CDF52" w14:textId="77777777" w:rsidR="00132CA4" w:rsidRDefault="00132CA4" w:rsidP="00E87B51">
      <w:r>
        <w:separator/>
      </w:r>
    </w:p>
  </w:footnote>
  <w:footnote w:type="continuationSeparator" w:id="0">
    <w:p w14:paraId="538CF1E0" w14:textId="77777777" w:rsidR="00132CA4" w:rsidRDefault="00132CA4" w:rsidP="00E87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F060" w14:textId="1BA0E71F" w:rsidR="00E87B51" w:rsidRDefault="00E87B51" w:rsidP="00E87B51">
    <w:pPr>
      <w:pStyle w:val="Header"/>
      <w:jc w:val="center"/>
      <w:rPr>
        <w:rFonts w:ascii="Courier New" w:hAnsi="Courier New" w:cs="Courier New"/>
        <w:b/>
        <w:sz w:val="22"/>
        <w:szCs w:val="22"/>
      </w:rPr>
    </w:pPr>
    <w:r w:rsidRPr="006E0AA5">
      <w:rPr>
        <w:rFonts w:ascii="Courier New" w:hAnsi="Courier New" w:cs="Courier New"/>
        <w:b/>
        <w:noProof/>
        <w:sz w:val="22"/>
        <w:szCs w:val="22"/>
        <w:lang w:val="en-US"/>
      </w:rPr>
      <w:drawing>
        <wp:inline distT="0" distB="0" distL="0" distR="0" wp14:anchorId="66BD7DEE" wp14:editId="6E750DD7">
          <wp:extent cx="895350" cy="1038225"/>
          <wp:effectExtent l="0" t="0" r="0" b="9525"/>
          <wp:docPr id="1" name="Picture 1" descr="PA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B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1038225"/>
                  </a:xfrm>
                  <a:prstGeom prst="rect">
                    <a:avLst/>
                  </a:prstGeom>
                  <a:noFill/>
                  <a:ln>
                    <a:noFill/>
                  </a:ln>
                </pic:spPr>
              </pic:pic>
            </a:graphicData>
          </a:graphic>
        </wp:inline>
      </w:drawing>
    </w:r>
  </w:p>
  <w:p w14:paraId="02D64F59" w14:textId="77777777" w:rsidR="00E87B51" w:rsidRPr="00BF0E23" w:rsidRDefault="00E87B51" w:rsidP="00E87B51">
    <w:pPr>
      <w:pStyle w:val="Header"/>
      <w:jc w:val="center"/>
      <w:rPr>
        <w:b/>
      </w:rPr>
    </w:pPr>
    <w:r w:rsidRPr="00BF0E23">
      <w:rPr>
        <w:b/>
      </w:rPr>
      <w:t>BIEDRĪBA “Latvijas Profesionālo apdrošināšanas brokeru asociācija”</w:t>
    </w:r>
  </w:p>
  <w:p w14:paraId="72AEACD8" w14:textId="77777777" w:rsidR="00E87B51" w:rsidRPr="00BF0E23" w:rsidRDefault="00E87B51" w:rsidP="00E87B51">
    <w:pPr>
      <w:pStyle w:val="Header"/>
      <w:jc w:val="center"/>
      <w:rPr>
        <w:b/>
      </w:rPr>
    </w:pPr>
    <w:r w:rsidRPr="00BF0E23">
      <w:rPr>
        <w:b/>
      </w:rPr>
      <w:t>Reģ. nr. 40008079433</w:t>
    </w:r>
  </w:p>
  <w:p w14:paraId="3229DE6C" w14:textId="77777777" w:rsidR="00E87B51" w:rsidRPr="00BF0E23" w:rsidRDefault="00E87B51" w:rsidP="00E87B51">
    <w:pPr>
      <w:pStyle w:val="Header"/>
      <w:jc w:val="center"/>
      <w:rPr>
        <w:b/>
      </w:rPr>
    </w:pPr>
    <w:r w:rsidRPr="00BF0E23">
      <w:rPr>
        <w:b/>
      </w:rPr>
      <w:t>Čiekurkalna 1. līnija 33, Rīga, LV 1026</w:t>
    </w:r>
  </w:p>
  <w:p w14:paraId="0B469AB2" w14:textId="77777777" w:rsidR="00E87B51" w:rsidRPr="00BF0E23" w:rsidRDefault="00000000" w:rsidP="00E87B51">
    <w:pPr>
      <w:pStyle w:val="Header"/>
      <w:jc w:val="center"/>
    </w:pPr>
    <w:hyperlink r:id="rId2" w:history="1">
      <w:r w:rsidR="00E87B51" w:rsidRPr="00BF0E23">
        <w:rPr>
          <w:rStyle w:val="Hyperlink"/>
        </w:rPr>
        <w:t>www.paba.eu</w:t>
      </w:r>
    </w:hyperlink>
    <w:r w:rsidR="00E87B51" w:rsidRPr="00BF0E23">
      <w:t>; e-pasts: a@aa.lv</w:t>
    </w:r>
  </w:p>
  <w:p w14:paraId="238D6EA9" w14:textId="77777777" w:rsidR="00E87B51" w:rsidRDefault="00E87B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EFF"/>
    <w:rsid w:val="00132CA4"/>
    <w:rsid w:val="00282682"/>
    <w:rsid w:val="003C5DFF"/>
    <w:rsid w:val="003D05DD"/>
    <w:rsid w:val="004477BB"/>
    <w:rsid w:val="006C1E1F"/>
    <w:rsid w:val="006E334A"/>
    <w:rsid w:val="007B16CA"/>
    <w:rsid w:val="007D44F9"/>
    <w:rsid w:val="00905A05"/>
    <w:rsid w:val="00B251F1"/>
    <w:rsid w:val="00CC710E"/>
    <w:rsid w:val="00E87B51"/>
    <w:rsid w:val="00F54EFF"/>
    <w:rsid w:val="00FC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0D4DD"/>
  <w15:chartTrackingRefBased/>
  <w15:docId w15:val="{48AF2DED-6FBE-47AE-A747-0271BFF4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EFF"/>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B51"/>
    <w:pPr>
      <w:tabs>
        <w:tab w:val="center" w:pos="4677"/>
        <w:tab w:val="right" w:pos="9355"/>
      </w:tabs>
    </w:pPr>
  </w:style>
  <w:style w:type="character" w:customStyle="1" w:styleId="HeaderChar">
    <w:name w:val="Header Char"/>
    <w:basedOn w:val="DefaultParagraphFont"/>
    <w:link w:val="Header"/>
    <w:uiPriority w:val="99"/>
    <w:rsid w:val="00E87B51"/>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E87B51"/>
    <w:pPr>
      <w:tabs>
        <w:tab w:val="center" w:pos="4677"/>
        <w:tab w:val="right" w:pos="9355"/>
      </w:tabs>
    </w:pPr>
  </w:style>
  <w:style w:type="character" w:customStyle="1" w:styleId="FooterChar">
    <w:name w:val="Footer Char"/>
    <w:basedOn w:val="DefaultParagraphFont"/>
    <w:link w:val="Footer"/>
    <w:uiPriority w:val="99"/>
    <w:rsid w:val="00E87B51"/>
    <w:rPr>
      <w:rFonts w:ascii="Times New Roman" w:eastAsia="Times New Roman" w:hAnsi="Times New Roman" w:cs="Times New Roman"/>
      <w:sz w:val="24"/>
      <w:szCs w:val="24"/>
      <w:lang w:val="lv-LV"/>
    </w:rPr>
  </w:style>
  <w:style w:type="character" w:styleId="Hyperlink">
    <w:name w:val="Hyperlink"/>
    <w:uiPriority w:val="99"/>
    <w:unhideWhenUsed/>
    <w:rsid w:val="00E87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paba.e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3451</Characters>
  <Application>Microsoft Office Word</Application>
  <DocSecurity>0</DocSecurity>
  <Lines>28</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Auce</dc:creator>
  <cp:keywords/>
  <dc:description/>
  <cp:lastModifiedBy>Inese Albova</cp:lastModifiedBy>
  <cp:revision>2</cp:revision>
  <dcterms:created xsi:type="dcterms:W3CDTF">2022-12-22T08:25:00Z</dcterms:created>
  <dcterms:modified xsi:type="dcterms:W3CDTF">2022-12-22T08:25:00Z</dcterms:modified>
</cp:coreProperties>
</file>