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A7502" w14:textId="77777777" w:rsidR="004B504C" w:rsidRDefault="004B504C" w:rsidP="004B504C">
      <w:pPr>
        <w:rPr>
          <w:rFonts w:eastAsia="Times New Roman"/>
          <w:lang w:val="en-US" w:eastAsia="lv-LV"/>
        </w:rPr>
      </w:pPr>
      <w:r>
        <w:rPr>
          <w:rFonts w:eastAsia="Times New Roman"/>
          <w:b/>
          <w:bCs/>
          <w:lang w:val="en-US" w:eastAsia="lv-LV"/>
        </w:rPr>
        <w:t>From:</w:t>
      </w:r>
      <w:r>
        <w:rPr>
          <w:rFonts w:eastAsia="Times New Roman"/>
          <w:lang w:val="en-US" w:eastAsia="lv-LV"/>
        </w:rPr>
        <w:t xml:space="preserve"> SPRK &lt;sprk@sprk.gov.lv&gt;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December 27, 2021 8:21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kanceleja &lt;pasts@mk.gov.lv&gt;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Stone &lt;Kristine.Stone@mk.gov.lv&gt;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w:t>
      </w:r>
      <w:proofErr w:type="spellStart"/>
      <w:r>
        <w:rPr>
          <w:rFonts w:eastAsia="Times New Roman"/>
          <w:lang w:val="en-US" w:eastAsia="lv-LV"/>
        </w:rPr>
        <w:t>precizeto</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projektu</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 xml:space="preserve"> par </w:t>
      </w:r>
      <w:proofErr w:type="spellStart"/>
      <w:r>
        <w:rPr>
          <w:rFonts w:eastAsia="Times New Roman"/>
          <w:lang w:val="en-US" w:eastAsia="lv-LV"/>
        </w:rPr>
        <w:t>Eiropas</w:t>
      </w:r>
      <w:proofErr w:type="spellEnd"/>
      <w:r>
        <w:rPr>
          <w:rFonts w:eastAsia="Times New Roman"/>
          <w:lang w:val="en-US" w:eastAsia="lv-LV"/>
        </w:rPr>
        <w:t xml:space="preserve"> </w:t>
      </w:r>
      <w:proofErr w:type="spellStart"/>
      <w:r>
        <w:rPr>
          <w:rFonts w:eastAsia="Times New Roman"/>
          <w:lang w:val="en-US" w:eastAsia="lv-LV"/>
        </w:rPr>
        <w:t>Savienibas</w:t>
      </w:r>
      <w:proofErr w:type="spellEnd"/>
      <w:r>
        <w:rPr>
          <w:rFonts w:eastAsia="Times New Roman"/>
          <w:lang w:val="en-US" w:eastAsia="lv-LV"/>
        </w:rPr>
        <w:t xml:space="preserve"> </w:t>
      </w:r>
      <w:proofErr w:type="spellStart"/>
      <w:r>
        <w:rPr>
          <w:rFonts w:eastAsia="Times New Roman"/>
          <w:lang w:val="en-US" w:eastAsia="lv-LV"/>
        </w:rPr>
        <w:t>tiesibu</w:t>
      </w:r>
      <w:proofErr w:type="spellEnd"/>
      <w:r>
        <w:rPr>
          <w:rFonts w:eastAsia="Times New Roman"/>
          <w:lang w:val="en-US" w:eastAsia="lv-LV"/>
        </w:rPr>
        <w:t xml:space="preserve"> </w:t>
      </w:r>
      <w:proofErr w:type="spellStart"/>
      <w:r>
        <w:rPr>
          <w:rFonts w:eastAsia="Times New Roman"/>
          <w:lang w:val="en-US" w:eastAsia="lv-LV"/>
        </w:rPr>
        <w:t>aktiem</w:t>
      </w:r>
      <w:proofErr w:type="spellEnd"/>
      <w:r>
        <w:rPr>
          <w:rFonts w:eastAsia="Times New Roman"/>
          <w:lang w:val="en-US" w:eastAsia="lv-LV"/>
        </w:rPr>
        <w:t xml:space="preserve">, par kuru </w:t>
      </w:r>
      <w:proofErr w:type="spellStart"/>
      <w:r>
        <w:rPr>
          <w:rFonts w:eastAsia="Times New Roman"/>
          <w:lang w:val="en-US" w:eastAsia="lv-LV"/>
        </w:rPr>
        <w:t>parkapumiem</w:t>
      </w:r>
      <w:proofErr w:type="spellEnd"/>
      <w:r>
        <w:rPr>
          <w:rFonts w:eastAsia="Times New Roman"/>
          <w:lang w:val="en-US" w:eastAsia="lv-LV"/>
        </w:rPr>
        <w:t xml:space="preserve"> </w:t>
      </w:r>
      <w:proofErr w:type="spellStart"/>
      <w:r>
        <w:rPr>
          <w:rFonts w:eastAsia="Times New Roman"/>
          <w:lang w:val="en-US" w:eastAsia="lv-LV"/>
        </w:rPr>
        <w:t>celama</w:t>
      </w:r>
      <w:proofErr w:type="spellEnd"/>
      <w:r>
        <w:rPr>
          <w:rFonts w:eastAsia="Times New Roman"/>
          <w:lang w:val="en-US" w:eastAsia="lv-LV"/>
        </w:rPr>
        <w:t xml:space="preserve"> </w:t>
      </w:r>
      <w:proofErr w:type="spellStart"/>
      <w:r>
        <w:rPr>
          <w:rFonts w:eastAsia="Times New Roman"/>
          <w:lang w:val="en-US" w:eastAsia="lv-LV"/>
        </w:rPr>
        <w:t>trauksme</w:t>
      </w:r>
      <w:proofErr w:type="spellEnd"/>
      <w:r>
        <w:rPr>
          <w:rFonts w:eastAsia="Times New Roman"/>
          <w:lang w:val="en-US" w:eastAsia="lv-LV"/>
        </w:rPr>
        <w:t xml:space="preserve"> </w:t>
      </w:r>
      <w:proofErr w:type="spellStart"/>
      <w:r>
        <w:rPr>
          <w:rFonts w:eastAsia="Times New Roman"/>
          <w:lang w:val="en-US" w:eastAsia="lv-LV"/>
        </w:rPr>
        <w:t>vai</w:t>
      </w:r>
      <w:proofErr w:type="spellEnd"/>
      <w:r>
        <w:rPr>
          <w:rFonts w:eastAsia="Times New Roman"/>
          <w:lang w:val="en-US" w:eastAsia="lv-LV"/>
        </w:rPr>
        <w:t xml:space="preserve"> </w:t>
      </w:r>
      <w:proofErr w:type="spellStart"/>
      <w:r>
        <w:rPr>
          <w:rFonts w:eastAsia="Times New Roman"/>
          <w:lang w:val="en-US" w:eastAsia="lv-LV"/>
        </w:rPr>
        <w:t>kuros</w:t>
      </w:r>
      <w:proofErr w:type="spellEnd"/>
      <w:r>
        <w:rPr>
          <w:rFonts w:eastAsia="Times New Roman"/>
          <w:lang w:val="en-US" w:eastAsia="lv-LV"/>
        </w:rPr>
        <w:t xml:space="preserve"> </w:t>
      </w:r>
      <w:proofErr w:type="spellStart"/>
      <w:r>
        <w:rPr>
          <w:rFonts w:eastAsia="Times New Roman"/>
          <w:lang w:val="en-US" w:eastAsia="lv-LV"/>
        </w:rPr>
        <w:t>ir</w:t>
      </w:r>
      <w:proofErr w:type="spellEnd"/>
      <w:r>
        <w:rPr>
          <w:rFonts w:eastAsia="Times New Roman"/>
          <w:lang w:val="en-US" w:eastAsia="lv-LV"/>
        </w:rPr>
        <w:t xml:space="preserve"> </w:t>
      </w:r>
      <w:proofErr w:type="spellStart"/>
      <w:r>
        <w:rPr>
          <w:rFonts w:eastAsia="Times New Roman"/>
          <w:lang w:val="en-US" w:eastAsia="lv-LV"/>
        </w:rPr>
        <w:t>paredzeta</w:t>
      </w:r>
      <w:proofErr w:type="spellEnd"/>
      <w:r>
        <w:rPr>
          <w:rFonts w:eastAsia="Times New Roman"/>
          <w:lang w:val="en-US" w:eastAsia="lv-LV"/>
        </w:rPr>
        <w:t xml:space="preserve"> </w:t>
      </w:r>
      <w:proofErr w:type="spellStart"/>
      <w:r>
        <w:rPr>
          <w:rFonts w:eastAsia="Times New Roman"/>
          <w:lang w:val="en-US" w:eastAsia="lv-LV"/>
        </w:rPr>
        <w:t>citada</w:t>
      </w:r>
      <w:proofErr w:type="spellEnd"/>
      <w:r>
        <w:rPr>
          <w:rFonts w:eastAsia="Times New Roman"/>
          <w:lang w:val="en-US" w:eastAsia="lv-LV"/>
        </w:rPr>
        <w:t xml:space="preserve"> </w:t>
      </w:r>
      <w:proofErr w:type="spellStart"/>
      <w:r>
        <w:rPr>
          <w:rFonts w:eastAsia="Times New Roman"/>
          <w:lang w:val="en-US" w:eastAsia="lv-LV"/>
        </w:rPr>
        <w:t>zinošanas</w:t>
      </w:r>
      <w:proofErr w:type="spellEnd"/>
      <w:r>
        <w:rPr>
          <w:rFonts w:eastAsia="Times New Roman"/>
          <w:lang w:val="en-US" w:eastAsia="lv-LV"/>
        </w:rPr>
        <w:t xml:space="preserve"> </w:t>
      </w:r>
      <w:proofErr w:type="spellStart"/>
      <w:r>
        <w:rPr>
          <w:rFonts w:eastAsia="Times New Roman"/>
          <w:lang w:val="en-US" w:eastAsia="lv-LV"/>
        </w:rPr>
        <w:t>kartiba</w:t>
      </w:r>
      <w:proofErr w:type="spellEnd"/>
      <w:r>
        <w:rPr>
          <w:rFonts w:eastAsia="Times New Roman"/>
          <w:lang w:val="en-US" w:eastAsia="lv-LV"/>
        </w:rPr>
        <w:t>” (VSS-447)</w:t>
      </w:r>
    </w:p>
    <w:p w14:paraId="6027B8CC" w14:textId="77777777" w:rsidR="004B504C" w:rsidRDefault="004B504C" w:rsidP="004B504C"/>
    <w:p w14:paraId="6EE9599A" w14:textId="77777777" w:rsidR="004B504C" w:rsidRDefault="004B504C" w:rsidP="004B504C">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091F4D94" w14:textId="77777777" w:rsidR="004B504C" w:rsidRDefault="004B504C" w:rsidP="004B504C">
      <w:pPr>
        <w:rPr>
          <w:rFonts w:eastAsia="Times New Roman"/>
          <w:lang w:eastAsia="lv-LV"/>
        </w:rPr>
      </w:pPr>
    </w:p>
    <w:p w14:paraId="10EFD826" w14:textId="77777777" w:rsidR="004B504C" w:rsidRDefault="004B504C" w:rsidP="004B504C">
      <w:pPr>
        <w:spacing w:after="160" w:line="252" w:lineRule="auto"/>
        <w:rPr>
          <w:rFonts w:ascii="Times New Roman" w:hAnsi="Times New Roman" w:cs="Times New Roman"/>
          <w:sz w:val="24"/>
          <w:szCs w:val="24"/>
        </w:rPr>
      </w:pPr>
      <w:r>
        <w:rPr>
          <w:rFonts w:ascii="Times New Roman" w:hAnsi="Times New Roman" w:cs="Times New Roman"/>
          <w:sz w:val="24"/>
          <w:szCs w:val="24"/>
        </w:rPr>
        <w:t>27.12.2021. Nr.2-2.23/3705</w:t>
      </w:r>
    </w:p>
    <w:p w14:paraId="5C43D1D1" w14:textId="77777777" w:rsidR="004B504C" w:rsidRDefault="004B504C" w:rsidP="004B504C">
      <w:pPr>
        <w:spacing w:after="160" w:line="252" w:lineRule="auto"/>
        <w:rPr>
          <w:rFonts w:ascii="Times New Roman" w:hAnsi="Times New Roman" w:cs="Times New Roman"/>
          <w:sz w:val="24"/>
          <w:szCs w:val="24"/>
          <w:lang w:eastAsia="lv-LV"/>
        </w:rPr>
      </w:pPr>
      <w:r>
        <w:rPr>
          <w:rFonts w:ascii="Times New Roman" w:hAnsi="Times New Roman" w:cs="Times New Roman"/>
          <w:sz w:val="24"/>
          <w:szCs w:val="24"/>
        </w:rPr>
        <w:t xml:space="preserve">Uz 21.12.2021. e-pastu  </w:t>
      </w:r>
    </w:p>
    <w:p w14:paraId="30D5189E" w14:textId="77777777" w:rsidR="004B504C" w:rsidRDefault="004B504C" w:rsidP="004B504C">
      <w:pPr>
        <w:rPr>
          <w:rFonts w:ascii="Times New Roman" w:hAnsi="Times New Roman" w:cs="Times New Roman"/>
          <w:b/>
          <w:bCs/>
          <w:sz w:val="24"/>
          <w:szCs w:val="24"/>
        </w:rPr>
      </w:pPr>
      <w:r>
        <w:rPr>
          <w:rFonts w:ascii="Times New Roman" w:hAnsi="Times New Roman" w:cs="Times New Roman"/>
          <w:b/>
          <w:bCs/>
          <w:sz w:val="24"/>
          <w:szCs w:val="24"/>
        </w:rPr>
        <w:t>Par Ministru kabineta noteikumu projektu “Noteikumi par Eiropas Savienības</w:t>
      </w:r>
    </w:p>
    <w:p w14:paraId="7A1E2921" w14:textId="77777777" w:rsidR="004B504C" w:rsidRDefault="004B504C" w:rsidP="004B504C">
      <w:pPr>
        <w:rPr>
          <w:rFonts w:ascii="Times New Roman" w:hAnsi="Times New Roman" w:cs="Times New Roman"/>
          <w:b/>
          <w:bCs/>
          <w:sz w:val="24"/>
          <w:szCs w:val="24"/>
        </w:rPr>
      </w:pPr>
      <w:r>
        <w:rPr>
          <w:rFonts w:ascii="Times New Roman" w:hAnsi="Times New Roman" w:cs="Times New Roman"/>
          <w:b/>
          <w:bCs/>
          <w:sz w:val="24"/>
          <w:szCs w:val="24"/>
        </w:rPr>
        <w:t xml:space="preserve">tiesību aktiem, par kuru pārkāpumiem ceļama trauksme vai kuros ir paredzēta </w:t>
      </w:r>
    </w:p>
    <w:p w14:paraId="721CDEFB" w14:textId="77777777" w:rsidR="004B504C" w:rsidRDefault="004B504C" w:rsidP="004B504C">
      <w:pPr>
        <w:rPr>
          <w:rFonts w:ascii="Times New Roman" w:hAnsi="Times New Roman" w:cs="Times New Roman"/>
          <w:b/>
          <w:bCs/>
          <w:sz w:val="24"/>
          <w:szCs w:val="24"/>
        </w:rPr>
      </w:pPr>
      <w:r>
        <w:rPr>
          <w:rFonts w:ascii="Times New Roman" w:hAnsi="Times New Roman" w:cs="Times New Roman"/>
          <w:b/>
          <w:bCs/>
          <w:sz w:val="24"/>
          <w:szCs w:val="24"/>
        </w:rPr>
        <w:t>citāda ziņošanas kārtība” (VSS-447)</w:t>
      </w:r>
    </w:p>
    <w:p w14:paraId="58A33719" w14:textId="77777777" w:rsidR="004B504C" w:rsidRDefault="004B504C" w:rsidP="004B504C">
      <w:pPr>
        <w:rPr>
          <w:rFonts w:ascii="Times New Roman" w:hAnsi="Times New Roman" w:cs="Times New Roman"/>
          <w:b/>
          <w:bCs/>
          <w:sz w:val="24"/>
          <w:szCs w:val="24"/>
        </w:rPr>
      </w:pPr>
    </w:p>
    <w:p w14:paraId="088593ED" w14:textId="77777777" w:rsidR="004B504C" w:rsidRDefault="004B504C" w:rsidP="004B504C">
      <w:pPr>
        <w:spacing w:before="120" w:after="120"/>
        <w:ind w:firstLine="720"/>
        <w:rPr>
          <w:rFonts w:ascii="Times New Roman" w:hAnsi="Times New Roman" w:cs="Times New Roman"/>
          <w:sz w:val="24"/>
          <w:szCs w:val="24"/>
        </w:rPr>
      </w:pPr>
      <w:r>
        <w:rPr>
          <w:rFonts w:ascii="Times New Roman" w:hAnsi="Times New Roman" w:cs="Times New Roman"/>
          <w:sz w:val="24"/>
          <w:szCs w:val="24"/>
        </w:rPr>
        <w:t>Sabiedrisko pakalpojumu regulēšanas komisija savas kompetences ietvaros ir izvērtējusi atkātotai saskaņošanai atsūtīto Valsts kancelejas precizēto Ministru kabineta noteikumu projektu “Noteikumi par Eiropas Savienības tiesību aktiem, par kuru pārkāpumiem ceļama trauksme vai kuros ir paredzēta citāda ziņošanas kārtība” (VSS-447), sākotnējās ietekmes novērtējuma ziņojumu (anotāciju) un izziņu par atzinumos sniegtajiem iebildumiem un neiebilst pret dokumentu turpmāko virzību normatīvajos aktos noteiktajā kārtībā.</w:t>
      </w:r>
    </w:p>
    <w:p w14:paraId="07889669" w14:textId="77777777" w:rsidR="004B504C" w:rsidRDefault="004B504C" w:rsidP="004B504C"/>
    <w:p w14:paraId="1DFEED2C" w14:textId="77777777" w:rsidR="004B504C" w:rsidRDefault="004B504C" w:rsidP="004B504C"/>
    <w:p w14:paraId="57DD7F35" w14:textId="77777777" w:rsidR="004B504C" w:rsidRDefault="004B504C" w:rsidP="004B504C">
      <w:pPr>
        <w:spacing w:after="160" w:line="252" w:lineRule="auto"/>
        <w:rPr>
          <w:rFonts w:ascii="Tahoma" w:hAnsi="Tahoma" w:cs="Tahoma"/>
          <w:b/>
          <w:bCs/>
          <w:color w:val="808080"/>
          <w:sz w:val="8"/>
          <w:szCs w:val="8"/>
          <w:lang w:eastAsia="lv-LV"/>
        </w:rPr>
      </w:pPr>
      <w:r>
        <w:rPr>
          <w:rFonts w:ascii="Tahoma" w:hAnsi="Tahoma" w:cs="Tahoma"/>
          <w:b/>
          <w:bCs/>
          <w:color w:val="808080"/>
          <w:sz w:val="18"/>
          <w:szCs w:val="18"/>
          <w:lang w:eastAsia="lv-LV"/>
        </w:rPr>
        <w:t>Jānis Stepiņš</w:t>
      </w:r>
      <w:r>
        <w:rPr>
          <w:rFonts w:ascii="Tahoma" w:hAnsi="Tahoma" w:cs="Tahoma"/>
          <w:color w:val="808080"/>
          <w:sz w:val="16"/>
          <w:szCs w:val="16"/>
          <w:lang w:eastAsia="lv-LV"/>
        </w:rPr>
        <w:br/>
        <w:t>Juridiskā departamenta</w:t>
      </w:r>
      <w:r>
        <w:rPr>
          <w:rFonts w:ascii="Tahoma" w:hAnsi="Tahoma" w:cs="Tahoma"/>
          <w:color w:val="808080"/>
          <w:sz w:val="16"/>
          <w:szCs w:val="16"/>
          <w:lang w:eastAsia="lv-LV"/>
        </w:rPr>
        <w:br/>
        <w:t>Vispārīgo lietu nodaļas</w:t>
      </w:r>
      <w:r>
        <w:rPr>
          <w:rFonts w:ascii="Tahoma" w:hAnsi="Tahoma" w:cs="Tahoma"/>
          <w:color w:val="808080"/>
          <w:sz w:val="16"/>
          <w:szCs w:val="16"/>
          <w:lang w:eastAsia="lv-LV"/>
        </w:rPr>
        <w:br/>
        <w:t xml:space="preserve">vadītāja </w:t>
      </w:r>
      <w:proofErr w:type="spellStart"/>
      <w:r>
        <w:rPr>
          <w:rFonts w:ascii="Tahoma" w:hAnsi="Tahoma" w:cs="Tahoma"/>
          <w:color w:val="808080"/>
          <w:sz w:val="16"/>
          <w:szCs w:val="16"/>
          <w:lang w:eastAsia="lv-LV"/>
        </w:rPr>
        <w:t>p.i</w:t>
      </w:r>
      <w:proofErr w:type="spellEnd"/>
      <w:r>
        <w:rPr>
          <w:rFonts w:ascii="Tahoma" w:hAnsi="Tahoma" w:cs="Tahoma"/>
          <w:color w:val="808080"/>
          <w:sz w:val="16"/>
          <w:szCs w:val="16"/>
          <w:lang w:eastAsia="lv-LV"/>
        </w:rPr>
        <w:t>.</w:t>
      </w:r>
      <w:r>
        <w:rPr>
          <w:rFonts w:ascii="Tahoma" w:hAnsi="Tahoma" w:cs="Tahoma"/>
          <w:color w:val="808080"/>
          <w:sz w:val="16"/>
          <w:szCs w:val="16"/>
          <w:lang w:eastAsia="lv-LV"/>
        </w:rPr>
        <w:br/>
        <w:t xml:space="preserve">T.    +371 67097229 </w:t>
      </w:r>
      <w:r>
        <w:rPr>
          <w:rFonts w:ascii="Tahoma" w:hAnsi="Tahoma" w:cs="Tahoma"/>
          <w:color w:val="808080"/>
          <w:sz w:val="16"/>
          <w:szCs w:val="16"/>
          <w:lang w:eastAsia="lv-LV"/>
        </w:rPr>
        <w:br/>
      </w:r>
      <w:r>
        <w:rPr>
          <w:rFonts w:ascii="Tahoma" w:hAnsi="Tahoma" w:cs="Tahoma"/>
          <w:b/>
          <w:bCs/>
          <w:color w:val="808080"/>
          <w:sz w:val="8"/>
          <w:szCs w:val="8"/>
          <w:lang w:eastAsia="lv-LV"/>
        </w:rPr>
        <w:t>____________________________________________________________________________________</w:t>
      </w:r>
    </w:p>
    <w:p w14:paraId="1B67EB85" w14:textId="643E834C" w:rsidR="00E24BC2" w:rsidRDefault="004B504C" w:rsidP="004B504C">
      <w:r>
        <w:rPr>
          <w:rFonts w:ascii="Times New Roman" w:eastAsia="Times New Roman" w:hAnsi="Times New Roman" w:cs="Times New Roman"/>
          <w:noProof/>
          <w:sz w:val="24"/>
          <w:szCs w:val="24"/>
          <w:lang w:eastAsia="lv-LV"/>
        </w:rPr>
        <w:drawing>
          <wp:anchor distT="0" distB="0" distL="0" distR="0" simplePos="0" relativeHeight="251659264" behindDoc="0" locked="0" layoutInCell="1" allowOverlap="1" wp14:anchorId="1C8BABA2" wp14:editId="733C1D57">
            <wp:simplePos x="0" y="0"/>
            <wp:positionH relativeFrom="column">
              <wp:posOffset>0</wp:posOffset>
            </wp:positionH>
            <wp:positionV relativeFrom="paragraph">
              <wp:posOffset>1905</wp:posOffset>
            </wp:positionV>
            <wp:extent cx="1920240" cy="487680"/>
            <wp:effectExtent l="0" t="0" r="3810" b="7620"/>
            <wp:wrapSquare wrapText="bothSides"/>
            <wp:docPr id="6" name="Picture 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0240" cy="4876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808080"/>
          <w:sz w:val="16"/>
          <w:szCs w:val="16"/>
          <w:lang w:eastAsia="lv-LV"/>
        </w:rPr>
        <w:br/>
      </w:r>
      <w:r>
        <w:rPr>
          <w:rFonts w:ascii="Tahoma" w:hAnsi="Tahoma" w:cs="Tahoma"/>
          <w:color w:val="808080"/>
          <w:sz w:val="16"/>
          <w:szCs w:val="16"/>
          <w:lang w:eastAsia="lv-LV"/>
        </w:rPr>
        <w:br/>
      </w:r>
      <w:r>
        <w:rPr>
          <w:rFonts w:ascii="Tahoma" w:hAnsi="Tahoma" w:cs="Tahoma"/>
          <w:color w:val="808080"/>
          <w:sz w:val="16"/>
          <w:szCs w:val="16"/>
          <w:lang w:eastAsia="lv-LV"/>
        </w:rPr>
        <w:br/>
      </w:r>
      <w:r>
        <w:rPr>
          <w:rFonts w:ascii="Tahoma" w:hAnsi="Tahoma" w:cs="Tahoma"/>
          <w:color w:val="808080"/>
          <w:sz w:val="16"/>
          <w:szCs w:val="16"/>
          <w:lang w:eastAsia="lv-LV"/>
        </w:rPr>
        <w:br/>
        <w:t>Ūnijas iela 45,Rīga, LV-1039</w:t>
      </w:r>
      <w:r>
        <w:rPr>
          <w:rFonts w:ascii="Tahoma" w:hAnsi="Tahoma" w:cs="Tahoma"/>
          <w:color w:val="808080"/>
          <w:sz w:val="16"/>
          <w:szCs w:val="16"/>
          <w:lang w:eastAsia="lv-LV"/>
        </w:rPr>
        <w:br/>
      </w:r>
      <w:hyperlink r:id="rId6" w:history="1">
        <w:r>
          <w:rPr>
            <w:rStyle w:val="Hyperlink"/>
            <w:rFonts w:ascii="Tahoma" w:hAnsi="Tahoma" w:cs="Tahoma"/>
            <w:sz w:val="16"/>
            <w:szCs w:val="16"/>
            <w:lang w:eastAsia="lv-LV"/>
          </w:rPr>
          <w:t>www.sprk.gov.lv</w:t>
        </w:r>
      </w:hyperlink>
      <w:r>
        <w:rPr>
          <w:rFonts w:ascii="Tahoma" w:hAnsi="Tahoma" w:cs="Tahoma"/>
          <w:color w:val="808080"/>
          <w:sz w:val="16"/>
          <w:szCs w:val="16"/>
          <w:lang w:eastAsia="lv-LV"/>
        </w:rPr>
        <w:br/>
      </w:r>
      <w:r>
        <w:rPr>
          <w:rFonts w:ascii="Times New Roman" w:eastAsia="Times New Roman" w:hAnsi="Times New Roman" w:cs="Times New Roman"/>
          <w:noProof/>
          <w:sz w:val="24"/>
          <w:szCs w:val="24"/>
          <w:lang w:eastAsia="lv-LV"/>
        </w:rPr>
        <w:drawing>
          <wp:anchor distT="0" distB="0" distL="0" distR="0" simplePos="0" relativeHeight="251660288" behindDoc="0" locked="0" layoutInCell="1" allowOverlap="1" wp14:anchorId="35441522" wp14:editId="67F31CCC">
            <wp:simplePos x="0" y="0"/>
            <wp:positionH relativeFrom="column">
              <wp:posOffset>0</wp:posOffset>
            </wp:positionH>
            <wp:positionV relativeFrom="paragraph">
              <wp:posOffset>792480</wp:posOffset>
            </wp:positionV>
            <wp:extent cx="142875" cy="142875"/>
            <wp:effectExtent l="0" t="0" r="9525" b="9525"/>
            <wp:wrapSquare wrapText="bothSides"/>
            <wp:docPr id="5" name="Picture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0" locked="0" layoutInCell="1" allowOverlap="1" wp14:anchorId="0FEB846F" wp14:editId="65239A91">
            <wp:simplePos x="0" y="0"/>
            <wp:positionH relativeFrom="column">
              <wp:posOffset>152400</wp:posOffset>
            </wp:positionH>
            <wp:positionV relativeFrom="paragraph">
              <wp:posOffset>792480</wp:posOffset>
            </wp:positionV>
            <wp:extent cx="36195" cy="14287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0" locked="0" layoutInCell="1" allowOverlap="1" wp14:anchorId="594449F3" wp14:editId="47B53086">
            <wp:simplePos x="0" y="0"/>
            <wp:positionH relativeFrom="column">
              <wp:posOffset>190500</wp:posOffset>
            </wp:positionH>
            <wp:positionV relativeFrom="paragraph">
              <wp:posOffset>792480</wp:posOffset>
            </wp:positionV>
            <wp:extent cx="142875" cy="142875"/>
            <wp:effectExtent l="0" t="0" r="9525" b="9525"/>
            <wp:wrapSquare wrapText="bothSides"/>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0" locked="0" layoutInCell="1" allowOverlap="1" wp14:anchorId="2BD5CEE3" wp14:editId="2C57AABA">
            <wp:simplePos x="0" y="0"/>
            <wp:positionH relativeFrom="column">
              <wp:posOffset>342900</wp:posOffset>
            </wp:positionH>
            <wp:positionV relativeFrom="paragraph">
              <wp:posOffset>792480</wp:posOffset>
            </wp:positionV>
            <wp:extent cx="36195" cy="1428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 cy="1428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0" locked="0" layoutInCell="1" allowOverlap="1" wp14:anchorId="446EAB9D" wp14:editId="7FE7EBD8">
            <wp:simplePos x="0" y="0"/>
            <wp:positionH relativeFrom="column">
              <wp:posOffset>381000</wp:posOffset>
            </wp:positionH>
            <wp:positionV relativeFrom="paragraph">
              <wp:posOffset>792480</wp:posOffset>
            </wp:positionV>
            <wp:extent cx="142875" cy="142875"/>
            <wp:effectExtent l="0" t="0" r="9525" b="9525"/>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000000"/>
          <w:sz w:val="16"/>
          <w:szCs w:val="16"/>
          <w:lang w:eastAsia="lv-LV"/>
        </w:rPr>
        <w:br/>
      </w:r>
      <w:r>
        <w:rPr>
          <w:rFonts w:ascii="Tahoma" w:hAnsi="Tahoma" w:cs="Tahoma"/>
          <w:color w:val="000000"/>
          <w:sz w:val="16"/>
          <w:szCs w:val="16"/>
          <w:lang w:eastAsia="lv-LV"/>
        </w:rPr>
        <w:br/>
      </w:r>
    </w:p>
    <w:sectPr w:rsidR="00E24BC2" w:rsidSect="0066499E">
      <w:pgSz w:w="11906" w:h="16838" w:code="9"/>
      <w:pgMar w:top="1418"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04C"/>
    <w:rsid w:val="004B504C"/>
    <w:rsid w:val="0066499E"/>
    <w:rsid w:val="00E24B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46F3F"/>
  <w15:chartTrackingRefBased/>
  <w15:docId w15:val="{3779FB17-B70F-4F0C-A3F5-B53C17DA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04C"/>
    <w:pPr>
      <w:spacing w:after="0" w:line="240" w:lineRule="auto"/>
    </w:pPr>
    <w:rPr>
      <w:rFonts w:ascii="Calibri" w:hAnsi="Calibri" w:cs="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B504C"/>
    <w:rPr>
      <w:color w:val="0563C1"/>
      <w:u w:val="single"/>
    </w:rPr>
  </w:style>
  <w:style w:type="character" w:styleId="Strong">
    <w:name w:val="Strong"/>
    <w:basedOn w:val="DefaultParagraphFont"/>
    <w:uiPriority w:val="22"/>
    <w:qFormat/>
    <w:rsid w:val="004B5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hyperlink" Target="https://www.facebook.com/SabiedriskoPakalpojumuRegulators/" TargetMode="External"/><Relationship Id="rId12" Type="http://schemas.openxmlformats.org/officeDocument/2006/relationships/hyperlink" Target="https://www.linkedin.com/company/public-utilities-commission-of-latvia/abou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www.sprk.gov.lv"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twitter.com/sprk_lv" TargetMode="External"/><Relationship Id="rId4" Type="http://schemas.openxmlformats.org/officeDocument/2006/relationships/hyperlink" Target="http://www.sprk.gov.lv/"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927</Words>
  <Characters>529</Characters>
  <Application>Microsoft Office Word</Application>
  <DocSecurity>0</DocSecurity>
  <Lines>4</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Stone</dc:creator>
  <cp:keywords/>
  <dc:description/>
  <cp:lastModifiedBy>Kristīne Stone</cp:lastModifiedBy>
  <cp:revision>1</cp:revision>
  <dcterms:created xsi:type="dcterms:W3CDTF">2021-12-28T08:02:00Z</dcterms:created>
  <dcterms:modified xsi:type="dcterms:W3CDTF">2021-12-28T08:02:00Z</dcterms:modified>
</cp:coreProperties>
</file>