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25-TA-280: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29. janvāra noteikumos Nr. 49 "Noteikumi par kuģu drošību"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29. janvāra noteikumos Nr. 49 "Noteikumi par kuģu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savu iebildumu par projekta 16.punktā ietvertā Ministru kabineta 2008.gada 29.janvāra noteikumu Nr.49 "Noteikumi par kuģu drošību" 726.</w:t>
            </w:r>
            <w:r w:rsidR="00000000" w:rsidRPr="00000000" w:rsidDel="00000000">
              <w:rPr>
                <w:vertAlign w:val="superscript"/>
                <w:rtl w:val="0"/>
              </w:rPr>
              <w:t xml:space="preserve">13</w:t>
            </w:r>
            <w:r w:rsidR="00000000" w:rsidRPr="00000000" w:rsidDel="00000000">
              <w:rPr>
                <w:rtl w:val="0"/>
              </w:rPr>
              <w:t xml:space="preserve"> – 726.</w:t>
            </w:r>
            <w:r w:rsidR="00000000" w:rsidRPr="00000000" w:rsidDel="00000000">
              <w:rPr>
                <w:vertAlign w:val="superscript"/>
                <w:rtl w:val="0"/>
              </w:rPr>
              <w:t xml:space="preserve">16</w:t>
            </w:r>
            <w:r w:rsidR="00000000" w:rsidRPr="00000000" w:rsidDel="00000000">
              <w:rPr>
                <w:rtl w:val="0"/>
              </w:rPr>
              <w:t xml:space="preserve"> un 726.</w:t>
            </w:r>
            <w:r w:rsidR="00000000" w:rsidRPr="00000000" w:rsidDel="00000000">
              <w:rPr>
                <w:vertAlign w:val="superscript"/>
                <w:rtl w:val="0"/>
              </w:rPr>
              <w:t xml:space="preserve">24</w:t>
            </w:r>
            <w:r w:rsidR="00000000" w:rsidRPr="00000000" w:rsidDel="00000000">
              <w:rPr>
                <w:rtl w:val="0"/>
              </w:rPr>
              <w:t xml:space="preserve"> 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gan projekta 16.punktā ietvertajā 726.</w:t>
            </w:r>
            <w:r w:rsidR="00000000" w:rsidRPr="00000000" w:rsidDel="00000000">
              <w:rPr>
                <w:vertAlign w:val="superscript"/>
                <w:rtl w:val="0"/>
              </w:rPr>
              <w:t xml:space="preserve">13</w:t>
            </w:r>
            <w:r w:rsidR="00000000" w:rsidRPr="00000000" w:rsidDel="00000000">
              <w:rPr>
                <w:rtl w:val="0"/>
              </w:rPr>
              <w:t xml:space="preserve"> punktā ir norādīts, ka Jūras administrācijas Kuģošanas drošības inspekcija izdot atzītām organizācijām adresētas vadlīnijas, vienlaikus no projekta regulējuma arī izriet, ka attiecīgās vadlīnijas ir vadlīnijas par ekvivalentiem vai atbrīvojumiem, kas piemērojami attiecībā uz visiem noteikta veida ātrgaitas kuģiem. Proti, vadlīnijas ir paredzētas piemērošanai attiecībā uz ātrgaitas kuģiem, tas ir, uz kuģu īpašnieku vai operatoru (privātpersonu) reģistrējamiem ātrgaitas kuģiem.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16. un 17. punkta ir izslēgts viss regulējums, kas bija saistīts ar vadlīniju izdošanu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Projekta iepriekšējā redakcijā paredzētais Noteikumu 726.</w:t>
            </w:r>
            <w:r w:rsidR="00000000" w:rsidRPr="00000000" w:rsidDel="00000000">
              <w:rPr>
                <w:vertAlign w:val="superscript"/>
                <w:rtl w:val="0"/>
              </w:rPr>
              <w:t xml:space="preserve">13</w:t>
            </w:r>
            <w:r w:rsidR="00000000" w:rsidRPr="00000000" w:rsidDel="00000000">
              <w:rPr>
                <w:rtl w:val="0"/>
              </w:rPr>
              <w:t xml:space="preserve">, 726.</w:t>
            </w:r>
            <w:r w:rsidR="00000000" w:rsidRPr="00000000" w:rsidDel="00000000">
              <w:rPr>
                <w:vertAlign w:val="superscript"/>
                <w:rtl w:val="0"/>
              </w:rPr>
              <w:t xml:space="preserve">14</w:t>
            </w:r>
            <w:r w:rsidR="00000000" w:rsidRPr="00000000" w:rsidDel="00000000">
              <w:rPr>
                <w:rtl w:val="0"/>
              </w:rPr>
              <w:t xml:space="preserve"> un 726.</w:t>
            </w:r>
            <w:r w:rsidR="00000000" w:rsidRPr="00000000" w:rsidDel="00000000">
              <w:rPr>
                <w:vertAlign w:val="superscript"/>
                <w:rtl w:val="0"/>
              </w:rPr>
              <w:t xml:space="preserve">24</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iepriekšējā reakcijā paredzētajā 726.</w:t>
            </w:r>
            <w:r w:rsidR="00000000" w:rsidRPr="00000000" w:rsidDel="00000000">
              <w:rPr>
                <w:vertAlign w:val="superscript"/>
                <w:rtl w:val="0"/>
              </w:rPr>
              <w:t xml:space="preserve">15</w:t>
            </w:r>
            <w:r w:rsidR="00000000" w:rsidRPr="00000000" w:rsidDel="00000000">
              <w:rPr>
                <w:rtl w:val="0"/>
              </w:rPr>
              <w:t xml:space="preserve"> un 726.</w:t>
            </w:r>
            <w:r w:rsidR="00000000" w:rsidRPr="00000000" w:rsidDel="00000000">
              <w:rPr>
                <w:vertAlign w:val="superscript"/>
                <w:rtl w:val="0"/>
              </w:rPr>
              <w:t xml:space="preserve">16</w:t>
            </w:r>
            <w:r w:rsidR="00000000" w:rsidRPr="00000000" w:rsidDel="00000000">
              <w:rPr>
                <w:rtl w:val="0"/>
              </w:rPr>
              <w:t xml:space="preserve"> punktā svītrots viss regulējums, kas bija saistīts ar vadlīniju piemērošanu, kā arī atbilstoši mainīta attiecīgo punktu numerācija (tagad šie punkti ir attiecīgi 726.</w:t>
            </w:r>
            <w:r w:rsidR="00000000" w:rsidRPr="00000000" w:rsidDel="00000000">
              <w:rPr>
                <w:vertAlign w:val="superscript"/>
                <w:rtl w:val="0"/>
              </w:rPr>
              <w:t xml:space="preserve">13</w:t>
            </w:r>
            <w:r w:rsidR="00000000" w:rsidRPr="00000000" w:rsidDel="00000000">
              <w:rPr>
                <w:rtl w:val="0"/>
              </w:rPr>
              <w:t xml:space="preserve"> un 726.</w:t>
            </w:r>
            <w:r w:rsidR="00000000" w:rsidRPr="00000000" w:rsidDel="00000000">
              <w:rPr>
                <w:vertAlign w:val="superscript"/>
                <w:rtl w:val="0"/>
              </w:rPr>
              <w:t xml:space="preserve">14</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17. punktā atbilstoši mainīta Noteikumos iekļaut plānoto punktu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paredzētajā Noteikumu 726.</w:t>
            </w:r>
            <w:r w:rsidR="00000000" w:rsidRPr="00000000" w:rsidDel="00000000">
              <w:rPr>
                <w:vertAlign w:val="superscript"/>
                <w:rtl w:val="0"/>
              </w:rPr>
              <w:t xml:space="preserve">19</w:t>
            </w:r>
            <w:r w:rsidR="00000000" w:rsidRPr="00000000" w:rsidDel="00000000">
              <w:rPr>
                <w:rtl w:val="0"/>
              </w:rPr>
              <w:t xml:space="preserve"> un 726.</w:t>
            </w:r>
            <w:r w:rsidR="00000000" w:rsidRPr="00000000" w:rsidDel="00000000">
              <w:rPr>
                <w:vertAlign w:val="superscript"/>
                <w:rtl w:val="0"/>
              </w:rPr>
              <w:t xml:space="preserve">20</w:t>
            </w:r>
            <w:r w:rsidR="00000000" w:rsidRPr="00000000" w:rsidDel="00000000">
              <w:rPr>
                <w:rtl w:val="0"/>
              </w:rPr>
              <w:t xml:space="preserve"> punktā (iepriekšējās redakcijas 726.</w:t>
            </w:r>
            <w:r w:rsidR="00000000" w:rsidRPr="00000000" w:rsidDel="00000000">
              <w:rPr>
                <w:vertAlign w:val="superscript"/>
                <w:rtl w:val="0"/>
              </w:rPr>
              <w:t xml:space="preserve">21</w:t>
            </w:r>
            <w:r w:rsidR="00000000" w:rsidRPr="00000000" w:rsidDel="00000000">
              <w:rPr>
                <w:rtl w:val="0"/>
              </w:rPr>
              <w:t xml:space="preserve"> un 726.</w:t>
            </w:r>
            <w:r w:rsidR="00000000" w:rsidRPr="00000000" w:rsidDel="00000000">
              <w:rPr>
                <w:vertAlign w:val="superscript"/>
                <w:rtl w:val="0"/>
              </w:rPr>
              <w:t xml:space="preserve">22</w:t>
            </w:r>
            <w:r w:rsidR="00000000" w:rsidRPr="00000000" w:rsidDel="00000000">
              <w:rPr>
                <w:rtl w:val="0"/>
              </w:rPr>
              <w:t xml:space="preserve"> punktā) atbilstoši mainītas iekšējās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precizēts arī anotācijas 1.3. sadaļas vienpadsmitajā pēc kārtas problēmas un risinājuma aprakstā iekļautais teksts, svītrojot no tā visus skaidrojumus, kas bija tieši saistīti ar vadlīniju izdošanu un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2008. gada 29. janvāra noteikumos Nr. 49 "Noteikumi par kuģu drošību"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2000. gada Starptautisko ātrgaitas kuģu drošības kodeksa un Starptautiskā drošības kodeksa kuģiem, kas pārvadā industriālo personālu, pieejamību, proti, pieejamību latviešu valodā oficiālajā izdevumā "Latvijas Vēstnesis", un saistošo spēku attiecībā uz privātpersonām, vai precizēt noteikumu projektu, piemēram, svītrojot atsauces uz minētajiem starptautiskajiem dokumentiem un nodrošināt minēto dokumentu prasību pārņemšanu noteikumu projektā. Norādām, ka starptautiskās normas, kas nav tulkotas latviešu valodā un publicētas oficiālajā izdevumā "Latvijas Vēstnesis", nav piemērojamas attiecībā uz fizisku vai privāto tiesību juridisku personu, ievērojot indivīda pamattiesības zināt savas tiesības. Līdzīgi lūdzam pārskatīt un, ja nepieciešams, svītrot noteikumu projektā ietvertās atsauces uz citiem starptautiskajiem kodeksiem.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HSC kodeksa un IP kodeksa normu pārņemšana (“pārrakstīšana”) nacionālajos normatīvajos aktos ir nelietderīga un nav vēlama (sk. anotācijas 1.3. sadaļas apakšsadaļā “Vai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privātpersonu informētību par HSC kodeksa un IP kodeksa normu saturu, apņemamies tuvākajā laikā iesniegt Valsts valodas centram pieprasījumu iztulkot attiecīgos kodeksus latviešu valodā. Tomēr, ņemot vērā, ka šie starptautiskie kodeksi (sevišķi HSC kodekss) ir apjomīgi un sarežģīti (satur daudz tehniskas informācijas un specifisku terminu), norādām, ka kodeksu tulkošana var aizņemt daudz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Apstāklis, ka HSC kodekss un IP kodekss nav pārtulkoti latviešu valodā un publicēti oficiālajā izdevumā “Latvijas Vēstnesis”, nav šķērslis, lai uz attiecīgajiem kodeksiem izdarītu atsauces Noteikumos. Minētais slēdziens balstīts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Satversmē paredzētās tiesības indivīdam zināt savas tiesības ir konkretizējamas kopsakarā ar Eiropas Cilvēktiesību tiesas judikatūru, kurā vērtēta tiesību normu pieejamība un skaidrība. Saskaņā ar šo judikatūru tiesību normas pieejamība citstarp ir atkarīga no attiecīgā normatīvā akta, nozares, pie kuras tas pieder, kā arī no tā regulēto subjektu daudzuma un statusa (sk., piemēram, Eiropas Cilvēktiesību tiesas 1990. gada 28. marta sprieduma lietā “Groppera radio AG and others v. Switzerland”, pieteikums Nr. 10890/84, 68. punktu). Līdz ar to konkrētajā gadījumā, novērtējot HSC kodeksa un IP kodeksa tulkošanas un publicēšanas oficiālajā izdevumā “Latvijas Vēstnesis” nepieciešamību, būtu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Noteikumi regulē ļoti specifisku darbības jomu – kuģu būvi un ekspluatāciju. Turklāt Noteikumi attiecas tikai uz komercdarbībā un valsts pārvaldes uzdevumu izpildē iesaistītiem kuģiem, kuru būvi un ekspluatāciju nodrošina nozares profesionāļi (Latvijas Jūras administrācija, klasifikācijas sabiedrības (atzītas organizācijas), atbilstoši sertificēti jūrnieki u. tml.), un Noteikumi neattiecas uz atpūtas kuģiem vai kādiem citiem kuģiem, kuru ekspluatācijā varētu būt iesaistītas kādas ar jūrniecības nozari tieši nesaistītas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jūrniecības nozarē angļu valoda ir starptautiski atzīta kā galvenā darba valoda. Gan kuģu īpašnieki un operatori, gan atbildīgās institūcijas (piemēram, Latvijas Jūras administrācija, klasifikācijas sabiedrības (atzītas organizācijas)) ikdienā izmanto gan konkrētos Starptautiskās Jūrniecības organizācijas izdotos kodeksus, gan citus  Starptautiskās Jūrniecības organizācijas instrumentus (kodeksus, rezolūcijas, cirkulārus u. tml.). Vēl vairāk, ņemot vērā attiecīgo dokumentu sarežģītību (specifisko terminoloģiju u. tml.), kā arī apstākli, ka šajos dokumentos visai bieži tiek veikti grozījumi, pat tad, kad attiecīgie dokumenti tiks iztulkoti, ir ļoti maz ticams, ka nozares pārstāvji paļausies uz šo tulkojumu autentiskumu vai uz to, ka visi grozījumi ir savlaicīgi iztulkoti, un savā profesionālajā darbībā vienalga izmantos drošākus informācijas avotus (piemēram, Starptautiskās Jūrniecības organizācijas publikācijas vai Eiropas Jūras drošības aģentūras datubāzes).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Latvijā ir atzīta prakse starptautiskās normas ieviest iekšējā tiesību sistēmā ar atsauci, īpaši attiecībā uz tehniska rakstura dokumentiem, kurus izstrādājušas starptautiskās organizācijas. Latvijas normatīvajos aktos ir ļoti daudz atsauču uz visdažādākajiem starptautiskajiem standartiem, liels vairums no kuriem ne vien nav tulkoti latviešu valodā, bet arī ir pieejami tikai par samaksu. Arī atsauces uz Starptautiskās Jūrniecības organizācijas apstiprinātiem kodeksiem, kas nav tulkoti latviešu valodā un nav publicēti oficiālajā izdevumā “Latvijas Vēstnesis”, jau šobrīd ir iekļautas vairākos nacionālajos normatīvajos aktos. Piemēram, atsauces uz HSC kodeksu jau šobrīd ir Ministru kabineta 2019. gada 1. oktobra noteikumos Nr. 465 “Ro-ro pasažieru kuģu un ātrgaitas pasažieru kuģu drošības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skaidrot (nepieciešamības gadījumā - piemērveidā), kā izpaužas noteikumu projekta 16. punktā minētā </w:t>
            </w:r>
            <w:r w:rsidR="00000000" w:rsidRPr="00000000" w:rsidDel="00000000">
              <w:rPr>
                <w:u w:val="single"/>
                <w:rtl w:val="0"/>
              </w:rPr>
              <w:t xml:space="preserve">būtiskā</w:t>
            </w:r>
            <w:r w:rsidR="00000000" w:rsidRPr="00000000" w:rsidDel="00000000">
              <w:rPr>
                <w:rtl w:val="0"/>
              </w:rPr>
              <w:t xml:space="preserve"> kuģošanas drošības pasliktināšanās un vispārējās kuģošanas drošības izmainīšanās. Vēršam uzmanību, ka norāde uz būtiskumu ir subjektīva un var apdraudēt noteikumu projekta vienveidīgu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atbilstoši papildināta (sk. anotācijas 1.3. sadaļas vienpadsmitajā pēc kārtas risinājuma aprakstā 4. un 5.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par noteikumu projektā ietverto grozīto Ministru kabineta 2008. gada 29. janvāra noteikumu Nr. 49 "Noteikumi par kuģu drošību" (turpmāk - Noteikumi Nr.49) 726.</w:t>
            </w:r>
            <w:r w:rsidR="00000000" w:rsidRPr="00000000" w:rsidDel="00000000">
              <w:rPr>
                <w:vertAlign w:val="superscript"/>
                <w:rtl w:val="0"/>
              </w:rPr>
              <w:t xml:space="preserve">11</w:t>
            </w:r>
            <w:r w:rsidR="00000000" w:rsidRPr="00000000" w:rsidDel="00000000">
              <w:rPr>
                <w:rtl w:val="0"/>
              </w:rPr>
              <w:t xml:space="preserve">, 726.</w:t>
            </w:r>
            <w:r w:rsidR="00000000" w:rsidRPr="00000000" w:rsidDel="00000000">
              <w:rPr>
                <w:vertAlign w:val="superscript"/>
                <w:rtl w:val="0"/>
              </w:rPr>
              <w:t xml:space="preserve">13</w:t>
            </w:r>
            <w:r w:rsidR="00000000" w:rsidRPr="00000000" w:rsidDel="00000000">
              <w:rPr>
                <w:rtl w:val="0"/>
              </w:rPr>
              <w:t xml:space="preserve"> un 726.</w:t>
            </w:r>
            <w:r w:rsidR="00000000" w:rsidRPr="00000000" w:rsidDel="00000000">
              <w:rPr>
                <w:vertAlign w:val="superscript"/>
                <w:rtl w:val="0"/>
              </w:rPr>
              <w:t xml:space="preserve">25</w:t>
            </w:r>
            <w:r w:rsidR="00000000" w:rsidRPr="00000000" w:rsidDel="00000000">
              <w:rPr>
                <w:rtl w:val="0"/>
              </w:rPr>
              <w:t xml:space="preserve"> punkta (un saistītā regulējuma) atbilstību tiesiskās vienlīdzības principam (ciktāl konkrētā gadījumā piemērotiem izņēmumiem nav obligāti jābūt noteiktiem vadlīnijās), kā arī Jūrlietu pārvaldes un jūras drošības likuma 11. panta ceturtajā daļā noteiktajam. Norādām, ka drošības prasību piemērošanu atbilstoši noteikumu projekta izdošanas tiesiskajam pamatam var noteikt vienīgi pats Ministru kabinets, kas nevar veikt pārpilnvarošanu. Ja attiecīgu skaidrojumu nav iespējams sniegt, lūdzam svītrot vai precizēt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iebildums saistīts ar Projekta 16. punktā paredzēto Noteikumu 726.</w:t>
            </w:r>
            <w:r w:rsidR="00000000" w:rsidRPr="00000000" w:rsidDel="00000000">
              <w:rPr>
                <w:vertAlign w:val="superscript"/>
                <w:rtl w:val="0"/>
              </w:rPr>
              <w:t xml:space="preserve">11</w:t>
            </w:r>
            <w:r w:rsidR="00000000" w:rsidRPr="00000000" w:rsidDel="00000000">
              <w:rPr>
                <w:rtl w:val="0"/>
              </w:rPr>
              <w:t xml:space="preserve"> un 726.</w:t>
            </w:r>
            <w:r w:rsidR="00000000" w:rsidRPr="00000000" w:rsidDel="00000000">
              <w:rPr>
                <w:vertAlign w:val="superscript"/>
                <w:rtl w:val="0"/>
              </w:rPr>
              <w:t xml:space="preserve">13</w:t>
            </w:r>
            <w:r w:rsidR="00000000" w:rsidRPr="00000000" w:rsidDel="00000000">
              <w:rPr>
                <w:rtl w:val="0"/>
              </w:rPr>
              <w:t xml:space="preserve"> punktu, anotācijas 1.3. sadaļa ir atbilstoši papildināta (sk. anotācijas 1.3. sadaļas vienpadsmitajā pēc kārtas problēmas aprakstā 9. rindkopu un vienpadsmitajā pēc kārtas risinājuma aprakstā 6., 7. un 8.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Ciktāl iebildums saistīts ar Projekta 17. punktā paredzēto Noteikumu 726.</w:t>
            </w:r>
            <w:r w:rsidR="00000000" w:rsidRPr="00000000" w:rsidDel="00000000">
              <w:rPr>
                <w:vertAlign w:val="superscript"/>
                <w:rtl w:val="0"/>
              </w:rPr>
              <w:t xml:space="preserve">25</w:t>
            </w:r>
            <w:r w:rsidR="00000000" w:rsidRPr="00000000" w:rsidDel="00000000">
              <w:rPr>
                <w:rtl w:val="0"/>
              </w:rPr>
              <w:t xml:space="preserve"> punktu, attiecīgais Noteikumu punkts ir saturiski mainīts, svītrojot tajā norādi uz “normatīvajos aktos noteiktajiem standartiem ekvivalentu standartu” piemērošanas pieļaujamību.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ietvertajā Noteikumu Nr. 49 726.</w:t>
            </w:r>
            <w:r w:rsidR="00000000" w:rsidRPr="00000000" w:rsidDel="00000000">
              <w:rPr>
                <w:vertAlign w:val="superscript"/>
                <w:rtl w:val="0"/>
              </w:rPr>
              <w:t xml:space="preserve">9</w:t>
            </w:r>
            <w:r w:rsidR="00000000" w:rsidRPr="00000000" w:rsidDel="00000000">
              <w:rPr>
                <w:rtl w:val="0"/>
              </w:rPr>
              <w:t xml:space="preserve"> punktā norādīt konkrētu normatīvo aktu jomu, ievērojot Ministru kabineta 2009. gada 3. februāra noteikumu Nr. 108 "Normatīvo aktu projektu sagatavošanas noteikumi" (turpmāk - noteikumi Nr. 108)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16. punktu Noteikumos iekļaut paredzētais 726.</w:t>
            </w:r>
            <w:r w:rsidR="00000000" w:rsidRPr="00000000" w:rsidDel="00000000">
              <w:rPr>
                <w:vertAlign w:val="superscript"/>
                <w:rtl w:val="0"/>
              </w:rPr>
              <w:t xml:space="preserve">9 </w:t>
            </w:r>
            <w:r w:rsidR="00000000" w:rsidRPr="00000000" w:rsidDel="00000000">
              <w:rPr>
                <w:rtl w:val="0"/>
              </w:rPr>
              <w:t xml:space="preserve">punkts ir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svītrot norādi "balstoties uz savām iekšējām procedūrām", ievērojot noteikumu Nr. 108 131.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16. punktu Noteikumos iekļaut paredzētais 726.</w:t>
            </w:r>
            <w:r w:rsidR="00000000" w:rsidRPr="00000000" w:rsidDel="00000000">
              <w:rPr>
                <w:vertAlign w:val="superscript"/>
                <w:rtl w:val="0"/>
              </w:rPr>
              <w:t xml:space="preserve">6</w:t>
            </w:r>
            <w:r w:rsidR="00000000" w:rsidRPr="00000000" w:rsidDel="00000000">
              <w:rPr>
                <w:rtl w:val="0"/>
              </w:rPr>
              <w:t xml:space="preserve"> punkts ir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punktā un 16. punktā ietvertā Noteikumu Nr. 49 726.</w:t>
            </w:r>
            <w:r w:rsidR="00000000" w:rsidRPr="00000000" w:rsidDel="00000000">
              <w:rPr>
                <w:vertAlign w:val="superscript"/>
                <w:rtl w:val="0"/>
              </w:rPr>
              <w:t xml:space="preserve">13</w:t>
            </w:r>
            <w:r w:rsidR="00000000" w:rsidRPr="00000000" w:rsidDel="00000000">
              <w:rPr>
                <w:rtl w:val="0"/>
              </w:rPr>
              <w:t xml:space="preserve"> – 726.</w:t>
            </w:r>
            <w:r w:rsidR="00000000" w:rsidRPr="00000000" w:rsidDel="00000000">
              <w:rPr>
                <w:vertAlign w:val="superscript"/>
                <w:rtl w:val="0"/>
              </w:rPr>
              <w:t xml:space="preserve">16</w:t>
            </w:r>
            <w:r w:rsidR="00000000" w:rsidRPr="00000000" w:rsidDel="00000000">
              <w:rPr>
                <w:rtl w:val="0"/>
              </w:rPr>
              <w:t xml:space="preserve"> punkta un 726.</w:t>
            </w:r>
            <w:r w:rsidR="00000000" w:rsidRPr="00000000" w:rsidDel="00000000">
              <w:rPr>
                <w:vertAlign w:val="superscript"/>
                <w:rtl w:val="0"/>
              </w:rPr>
              <w:t xml:space="preserve">24</w:t>
            </w:r>
            <w:r w:rsidR="00000000" w:rsidRPr="00000000" w:rsidDel="00000000">
              <w:rPr>
                <w:rtl w:val="0"/>
              </w:rPr>
              <w:t xml:space="preserve"> punkta regulējumu saistībā ar vadlīniju piemērošanu attiecībā uz privātpersonām. Norādām, ka saskaņā ar Administratīvā procesa likuma 16. panta pirmo daļu iekšējais normatīvais akts (konkrētajā gadījumā vadlīnijas) ir saistošs tam publisko tiesību subjektam, kas šo aktu izdevis, kā arī šim publisko tiesību subjektam padotajām institūcijām. </w:t>
            </w:r>
            <w:r w:rsidR="00000000" w:rsidRPr="00000000" w:rsidDel="00000000">
              <w:rPr>
                <w:u w:val="single"/>
                <w:rtl w:val="0"/>
              </w:rPr>
              <w:t xml:space="preserve">Privātpersonām iekšējais normatīvais akts nav saistošs.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ar Projekta 16. punktu Noteikumos iekļaut plānotā 726.</w:t>
            </w:r>
            <w:r w:rsidR="00000000" w:rsidRPr="00000000" w:rsidDel="00000000">
              <w:rPr>
                <w:vertAlign w:val="superscript"/>
                <w:rtl w:val="0"/>
              </w:rPr>
              <w:t xml:space="preserve">11 </w:t>
            </w:r>
            <w:r w:rsidR="00000000" w:rsidRPr="00000000" w:rsidDel="00000000">
              <w:rPr>
                <w:rtl w:val="0"/>
              </w:rPr>
              <w:t xml:space="preserve">un 726.</w:t>
            </w:r>
            <w:r w:rsidR="00000000" w:rsidRPr="00000000" w:rsidDel="00000000">
              <w:rPr>
                <w:vertAlign w:val="superscript"/>
                <w:rtl w:val="0"/>
              </w:rPr>
              <w:t xml:space="preserve">13</w:t>
            </w:r>
            <w:r w:rsidR="00000000" w:rsidRPr="00000000" w:rsidDel="00000000">
              <w:rPr>
                <w:rtl w:val="0"/>
              </w:rPr>
              <w:t xml:space="preserve"> punkta redakcija, dodot tiešas norādes uz to, ka lēmumu par ekvivalentiem un atbrīvojumiem, kā arī vadlīniju par ekvivalentu un atbrīvojumu piemērošanu adresāts ir atzītas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precizēts anotācijas 1.3. sadaļas vienpadsmitais pēc kārtas problēmas apraksts, papildinot to ar paskaidrojumu, ka attiecīgās vadlīnijas “ir atzīstamas par iekšējo normatīvo aktu (par Valsts pārvaldes iekārtas likuma IX nodaļā paredzētajiem ieteikumiem), kas ir adresētas tikai un vienīgi Jūras administrācijai padotām institūcijām – atzītām organizācijām – un nav saistošas privātpersonām (kuģu īpašniekiem vai kādiem citiem privāto tiesību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ir arī anotācijas 1.3. sadaļas devītais pēc kārtas problēmas apraksts, iekļaujot tajā iepriekš minētajam paskaidrojumam līdzīgu paskaidrojumu attiecībā uz Projekta 13. punktā minētajām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dēļ lūdzam papildināt noteikumu projekta anotāciju ar skaidrojumu, kāda ir Noteikumos Nr.49 noteikto atzīto organizāciju pieņemto lēmumu (administratīvo aktu) apstrīdēšanas un pārsūdzēšanas kārtība. Vēršam uzmanību, ka Jūrlietu pārvaldes un jūras drošības likuma 6.panta 3</w:t>
            </w:r>
            <w:r w:rsidR="00000000" w:rsidRPr="00000000" w:rsidDel="00000000">
              <w:rPr>
                <w:vertAlign w:val="superscript"/>
                <w:rtl w:val="0"/>
              </w:rPr>
              <w:t xml:space="preserve">1</w:t>
            </w:r>
            <w:r w:rsidR="00000000" w:rsidRPr="00000000" w:rsidDel="00000000">
              <w:rPr>
                <w:rtl w:val="0"/>
              </w:rPr>
              <w:t xml:space="preserve">.daļā tiešā tekstā ir norādīta tikai valsts sabiedrības ar ierobežotu atbildību "Latvijas Jūras administrācija" (turpmāk - Latvijas Jūras administrācija) struktūrvienību vai Latvijas Jūras administrācijas direktora pieņemto lēmumu apstrīdēšanas un pārsūdzēšanas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atbilstoši papildināta (sk. anotācijas 1.3. sadaļas vienpadsmitajā pēc kārtas problēmas aprakstā 6.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108 100.2. apakšpunktu lūdzam precizēt noteikumu projekta 1. punktu, atbilstoši Jūras vides aizsardzības un pārvaldības likuma 11. panta ceturtajai daļai norādot uz drošības prasību </w:t>
            </w:r>
            <w:r w:rsidR="00000000" w:rsidRPr="00000000" w:rsidDel="00000000">
              <w:rPr>
                <w:u w:val="single"/>
                <w:rtl w:val="0"/>
              </w:rPr>
              <w:t xml:space="preserve">piemērošanu</w:t>
            </w:r>
            <w:r w:rsidR="00000000" w:rsidRPr="00000000" w:rsidDel="00000000">
              <w:rPr>
                <w:rtl w:val="0"/>
              </w:rPr>
              <w:t xml:space="preserve"> attiecīgajiem kuģiem.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punkta redakcija ir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vai precizēt (piem., paredzot attiecīgās Noteikumu Nr. 49 normas svītrošanu) noteikumu projekta 15. punktu, jo attiecīgajai normai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punkts ir saturiski mainīts, paredzot Noteikumu 583. 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atbilstoši precizēta anotācija: (a) veiktas izmaiņas anotācijas 1.3. sadaļas pirmajā pēc kārtas risinājuma aprakstā; (b) anotācijas 1.3. sadaļa papildināta ar jaunu problēmas un risinājuma aprakstu (sk. anotācijas sešpadsmito pēc kārtas problēmas un risinājuma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tiek izpildītas attiecīgās saistības, lūdzam saskaņā ar Ministru kabineta 2021. gada 7. septembra noteikumu Nr. 617 "Tiesību akta projekta sākotnējās ietekmes izvērtēšanas kārtība" 9.19. apakšpunktu aizpildīt noteikumu projekta anotācijas 5. sadaļu (jo īpaši 5.5. sadaļas 2. tabulu), norādot ar noteikumu projektu izpildītās saistības, kas izriet no minētajiem līgumiem (piem., SOLAS konvencijas II-2. nodaļas 19. noteikuma 2.1. punkta, II-2. nodaļas 19. noteikuma 4. punkta, 1973. gada Starptautiskās konvencijas par piesārņojuma novēršanu no kuģiem un tās 1978. gada protokola u.c.), šo saistību būtību un konkrētus veicamos pasākumus vai uzdevumus, kas nepieciešami šo saistību izpildei. Skaidrojam, ka anotācijas 5. sadaļai ir jāsniedz priekšstats par to, kādas saistības Latvija ar noteikumu projektu izpilda,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izvērtēts, vai ar Projektu tiek izpildītas kādas Latvijas Republikas starptautiskās saistības, un konstatēts, ka ar Projektu šādas saistības netiek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13. un 14. punktā ir paredzēta SOLAS konvencijas normu piemērošana tādiem kuģiem, attiecībā uz kuriem saskaņā ar pašu SOLAS konvenciju šīs normas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un 17. punktā ir paredzēta SOLAS konvencijas un uz minētās konvencijas pamata izdoto starptautisko kodeksu (HSC kodeksa un IP kodeksa) normu piemērošana tādiem kuģiem, attiecībā uz kuriem saskaņā ar pašu SOLAS konvenciju un attiecīgajiem kodeksiem šīs normas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Nedaudz atšķirīga situācija ir saistībā ar Projekta 19. un 20. punktā ietvertajām atsaucēm uz MARPOL konvenciju, tomēr arī ar šīm Projekta normām Latvijas Republikas starptautiskas saistības netiek izpildītas.  MARPOL konvencijas attiecināmības normas ir visai komplicētas. Gandrīz visas MARPOL konvencijas normas attiecas uz kuģiem, kas nepārvadā naftu kā kravu un kuru bruto tilpība ir 400 vai lielāka, un uz naftas tankkuģiem, kuru bruto tilpība ir 150 vai lielāka, taču vienlaikus liela daļa MARPOL konvencijas normu attiecas arī uz mazākiem kuģiem. Noteikumu Nr. 49 13. nodaļas mērķis ir regulēt šo mazāko kuģu darbību tādos aspektos, kuros MARPOL konvencija šo mazāko kuģu darbību neregulē. Tomēr, lai novērstu kļūdainas interpretācijas riskus (piemēram, nepamatotus pieņēmumus par to, ka Noteikumu 13. nodaļa pilnībā aizstāj MARPOL konvencijā attiecībā uz mazākiem kuģiem paredzēto regulējumu), Noteikumu Nr. 49 13. nodaļā konsekventi (visās apakšnodaļās) papildus tiek dotas arī norādes uz visām šiem mazākiem kuģiem tieši piemērojamajām MARPOL konvencijas normām. Projekta 19. punktā un ar Projekta 20. punktu grozītā Noteikumu 731. punkta pirmajā teikumā tiek tikai precizētas norādes uz šīm MARPOL konvencijas tieši piemērojamajām normām. Ņemot vērā, ka tās ir vienkāršas norādes uz augstāka juridiska spēka tieši piemērojamām tiesību normām, nebūtu atzīstams, ka ar Projektu ir paredzēts izpildīt kādas no MARPOL konvencijas izrietošas starptautiskas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ietvertais Noteikumu Nr. 49 726.</w:t>
            </w:r>
            <w:r w:rsidR="00000000" w:rsidRPr="00000000" w:rsidDel="00000000">
              <w:rPr>
                <w:vertAlign w:val="superscript"/>
                <w:rtl w:val="0"/>
              </w:rPr>
              <w:t xml:space="preserve">11</w:t>
            </w:r>
            <w:r w:rsidR="00000000" w:rsidRPr="00000000" w:rsidDel="00000000">
              <w:rPr>
                <w:rtl w:val="0"/>
              </w:rPr>
              <w:t xml:space="preserve"> punktā paredzētais regulējums, iespējams, dublē noteikumu projekta 11. punktā minēto, tādēļ lūdzam izvērtēt un novērst dublēšanos, nepieciešamības gadījumā svītrojot kādu no minējām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izvērtēts, vai Projekta 11. punktā ietvertais Noteikumu 6. punkts nedublē Projekta 16. punktā ietverto Noteikumu 726.</w:t>
            </w:r>
            <w:r w:rsidR="00000000" w:rsidRPr="00000000" w:rsidDel="00000000">
              <w:rPr>
                <w:vertAlign w:val="superscript"/>
                <w:rtl w:val="0"/>
              </w:rPr>
              <w:t xml:space="preserve">11</w:t>
            </w:r>
            <w:r w:rsidR="00000000" w:rsidRPr="00000000" w:rsidDel="00000000">
              <w:rPr>
                <w:rtl w:val="0"/>
              </w:rPr>
              <w:t xml:space="preserve"> punktu. Izvērtēšanas rezultātā konstatēts, ka minētās normas nedublējas.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normu tiesiskie sastāvi būtiski atšķiras. Projekta 11. punktā ietvertajā Noteikumu 6. punktā atkāpju (ekvivalentu vai atbrīvojumu) piemērošana paredzēta saistībā ar ļoti konkrētu vajadzību – saistībā ar nepieciešamību ieviest uz kuģa jauna veida konstrukciju vai aprīkojumu –, un šī norma attiecas uz visiem kuģiem (gan uz “parastajiem” kuģiem, gan uz ātrgaitas kuģiem). Projekta 16. punktā ietvertajā Noteikumu 726.</w:t>
            </w:r>
            <w:r w:rsidR="00000000" w:rsidRPr="00000000" w:rsidDel="00000000">
              <w:rPr>
                <w:vertAlign w:val="superscript"/>
                <w:rtl w:val="0"/>
              </w:rPr>
              <w:t xml:space="preserve">11 </w:t>
            </w:r>
            <w:r w:rsidR="00000000" w:rsidRPr="00000000" w:rsidDel="00000000">
              <w:rPr>
                <w:rtl w:val="0"/>
              </w:rPr>
              <w:t xml:space="preserve">punktā atkāpju (ekvivalentu vai atbrīvojumu) piemērošana paredzēta saistībā ar pavisam citiem apstākļiem – saistībā ar kuģa sevišķi maziem izmēriem, saistībā ar kuģa sevišķi ierobežotu kuģošanas rajonu u. tml. –, turklāt šī norma attiecas tikai uz ātrgaitas kuģiem, un uz “parastajiem” kuģiem tā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 punktā norādi "visur, kur lietots termins “pasažieri”, tā vietā ielasāms termins “industriālais personāls” tādā nozīmē, kāda šim terminam piešķirta SOLAS konvencijas XV nodaļas 2. noteikuma 3. punktā;" pārformulēt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"726.201. šajā </w:t>
            </w:r>
            <w:r w:rsidR="00000000" w:rsidRPr="00000000" w:rsidDel="00000000">
              <w:rPr>
                <w:u w:val="single"/>
                <w:rtl w:val="0"/>
              </w:rPr>
              <w:t xml:space="preserve">(..)</w:t>
            </w:r>
            <w:r w:rsidR="00000000" w:rsidRPr="00000000" w:rsidDel="00000000">
              <w:rPr>
                <w:rtl w:val="0"/>
              </w:rPr>
              <w:t xml:space="preserve"> lietotais termins “pasažieri” atbilst terminam “industriālais personāls” SOLAS konvencijas XV nodaļas 2. noteikuma 3.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17. punktu Noteikumos iekļaut paredzētais 726.</w:t>
            </w:r>
            <w:r w:rsidR="00000000" w:rsidRPr="00000000" w:rsidDel="00000000">
              <w:rPr>
                <w:vertAlign w:val="superscript"/>
                <w:rtl w:val="0"/>
              </w:rPr>
              <w:t xml:space="preserve">20</w:t>
            </w:r>
            <w:r w:rsidR="00000000" w:rsidRPr="00000000" w:rsidDel="00000000">
              <w:rPr>
                <w:rtl w:val="0"/>
              </w:rPr>
              <w:t xml:space="preserve">1. apakšpunkts ir 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ietvertajā Noteikumu Nr. 49 726.</w:t>
            </w:r>
            <w:r w:rsidR="00000000" w:rsidRPr="00000000" w:rsidDel="00000000">
              <w:rPr>
                <w:vertAlign w:val="superscript"/>
                <w:rtl w:val="0"/>
              </w:rPr>
              <w:t xml:space="preserve">12</w:t>
            </w:r>
            <w:r w:rsidR="00000000" w:rsidRPr="00000000" w:rsidDel="00000000">
              <w:rPr>
                <w:rtl w:val="0"/>
              </w:rPr>
              <w:t xml:space="preserve"> punktā vai tā anotācijā skaidrot, kādos starptautiskajos līgumos nostiprināti kuģošanas drošības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atbilstoši papildināta (sk. anotācijas 1.3. sadaļas vienpadsmitajā pēc kārtas problēmas aprakstā 10.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vai attiecībā uz visiem noteikumu projekta 10. punktā minētajiem starptautiskos reisos iesaistītiem kuģiem ir saistošas 1974. gada Starptautiskās konvencijas par cilvēku dzīvības aizsardzību uz jūras (ar grozījumiem) pielikuma (turpmāk - SOLAS konvencija) VII nodaļā noteiktās prasības vai uz noteiktiem minētajos reisos iesaistītajiem kuģiem. Vēršam uzmanību, ka atbilstoši Jūrlietu pārvaldes un jūras drošības likuma 11. panta ceturtajai daļai Ministru kabinets var noteikt drošības un aizsardzības prasību piemērošanu vienīgi kuģiem, uz kuriem, ievērojot to tilpību, garumu, kuģa tipu, uzbūvēšanas gadu un kuģošanas rajonu, neattiecas šā panta pirmajā un otrajā daļā minētajos starptautiskajos normatīvajos aktos noteiktās prasības. Attiecīgi noteikumu projektā nebūtu pieļaujams noteikt prasību piemērošanu kuģiem, kam SOLAS konvencija ir saistoša, tādēļ, ja attiecīgu skaidrojumu nav iespējams sniegt, lūdzam atbilstoši precizēt minēto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Starptautiskos reisos neiesaistītiem kuģiem, kas pārvadā bīstamas kravas vai citas kravas, uz kurām attiecas SOLAS konvencijas VII nodaļa, papildus jebkādām citām šo noteikumu prasībām piemēro SOLAS konvencijas VII nodaļu, tostarp SOLAS konvencijas VII nodaļas 10. noteikuma 1. punktā, 13. noteikuma 1. punktā un 16. noteikuma 1. punktā paredzētās prasības par papildu apskatēm un sertifikāciju. Attiecībā uz minētajiem kuģiem Jūras administrācija var nesniegt Starptautiskajai Jūrniecības organizācijai informāciju, kuras sniegšana Starptautiskajai Jūrniecības organizācijai paredzēta SOLAS konvencijas VII nodaļā minētajos starptautiskajos kodeksos."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punkts ir izteikts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precizēta anotācija, veicot atbilstošas izmaiņas anotācijas 1.3. sadaļas sestajā pēc kārtas risinājuma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2008. gada 29. janvāra noteikumos Nr. 49 "Noteikumi par kuģu drošību" (Latvijas Vēstnesis, 2008, 33. nr.; 2016, 20. nr.; 2018, 245.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ātrgaitas kuģiem dēļ to specifiskās konstrukcijas un citām specifiskām īpašībām (piemēram, dēļ lielā ātruma, ko tie spēj attīstīt) principā nav iespējams piemērot “parastajiem” kuģiem noteiktās prasības, kas paredzētas grozīto Ministru kabineta noteikumu 4., 5., 6., 7., 8., 9., 10., 11. un 12. nodaļā, tomēr noteikumu projekta 16. punktā paredzēts, ka attiecībā uz ātrgaitas kuģiem nepiemēro šo noteikumu </w:t>
            </w:r>
            <w:r w:rsidR="00000000" w:rsidRPr="00000000" w:rsidDel="00000000">
              <w:rPr>
                <w:u w:val="single"/>
                <w:rtl w:val="0"/>
              </w:rPr>
              <w:t xml:space="preserve">3., </w:t>
            </w:r>
            <w:r w:rsidR="00000000" w:rsidRPr="00000000" w:rsidDel="00000000">
              <w:rPr>
                <w:rtl w:val="0"/>
              </w:rPr>
              <w:t xml:space="preserve">4., 5., 6., 7., 8., 9., 10., 11. un  12. nodaļu. Ievērojot minēto, lūdzam anotācijā skaidrot pamatojumu 3. nodaļas nepiemērošanai.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ir atbilstoši papildināta (sk. anotācijas 1.3. sadaļas vienpadsmitajā pēc kārtas problēmas aprakstā 5.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teikumu, ka projekta izpildē iesaistītās institūcijas projektā paredzēto nodrošinās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ir atbilstoši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25-TA-280</w:t>
    </w:r>
    <w:r>
      <w:br/>
    </w:r>
    <w:r w:rsidR="00000000" w:rsidRPr="00000000" w:rsidDel="00000000">
      <w:rPr>
        <w:rtl w:val="0"/>
      </w:rPr>
      <w:t xml:space="preserve">01.07.2025. 10.54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25-TA-280</w:t>
    </w:r>
    <w:r>
      <w:br/>
    </w:r>
    <w:r w:rsidR="00000000" w:rsidRPr="00000000" w:rsidDel="00000000">
      <w:rPr>
        <w:rtl w:val="0"/>
      </w:rPr>
      <w:t xml:space="preserve">01.07.2025. 10.54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Izziņa_25-TA-280.docx</dc:title>
</cp:coreProperties>
</file>

<file path=docProps/custom.xml><?xml version="1.0" encoding="utf-8"?>
<Properties xmlns="http://schemas.openxmlformats.org/officeDocument/2006/custom-properties" xmlns:vt="http://schemas.openxmlformats.org/officeDocument/2006/docPropsVTypes"/>
</file>