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DAF" w:rsidRDefault="00786DAF" w:rsidP="002C22B9">
      <w:pPr>
        <w:jc w:val="center"/>
        <w:rPr>
          <w:sz w:val="20"/>
        </w:rPr>
      </w:pPr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DB3101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B3101">
              <w:rPr>
                <w:szCs w:val="24"/>
              </w:rPr>
              <w:t>30.08.2021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02AA8">
              <w:rPr>
                <w:szCs w:val="24"/>
              </w:rPr>
              <w:t>2.1-3/3-1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DB3101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B3101">
              <w:rPr>
                <w:szCs w:val="24"/>
              </w:rPr>
              <w:t>4767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       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0C0DD4" w:rsidRDefault="00002AA8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Ekonomikas ministrijai</w:t>
            </w:r>
          </w:p>
        </w:tc>
      </w:tr>
      <w:bookmarkEnd w:id="5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RDefault="00002AA8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"Grozījumi Ministru kabineta 2020.gada 14.jūlija noteikumos Nr.458 "Noteikumi par kapitāla ieguldījumiem komersantos, kuru darbību ietekmējusi Covid-19 izplatība""</w:t>
            </w:r>
          </w:p>
        </w:tc>
      </w:tr>
    </w:tbl>
    <w:p w:rsidR="00E04F00" w:rsidRPr="00615936" w:rsidRDefault="00E04F00" w:rsidP="00C04DED">
      <w:pPr>
        <w:jc w:val="left"/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D6417C" w:rsidRDefault="00D6417C" w:rsidP="00D6417C">
      <w:pPr>
        <w:ind w:firstLine="720"/>
        <w:rPr>
          <w:lang w:eastAsia="lv-LV"/>
        </w:rPr>
      </w:pPr>
      <w:r>
        <w:rPr>
          <w:szCs w:val="24"/>
        </w:rPr>
        <w:t>Finanšu ministrija</w:t>
      </w:r>
      <w:r w:rsidRPr="00DF1C0C">
        <w:rPr>
          <w:szCs w:val="24"/>
        </w:rPr>
        <w:t xml:space="preserve"> </w:t>
      </w:r>
      <w:r>
        <w:rPr>
          <w:szCs w:val="24"/>
        </w:rPr>
        <w:t>ir izskatījusi Ekonomikas</w:t>
      </w:r>
      <w:r w:rsidRPr="00DF1C0C">
        <w:rPr>
          <w:szCs w:val="24"/>
        </w:rPr>
        <w:t xml:space="preserve"> ministrijas </w:t>
      </w:r>
      <w:r>
        <w:rPr>
          <w:szCs w:val="24"/>
        </w:rPr>
        <w:t xml:space="preserve">precizēto </w:t>
      </w:r>
      <w:r w:rsidRPr="00BD3B2C">
        <w:rPr>
          <w:szCs w:val="24"/>
        </w:rPr>
        <w:t>Minis</w:t>
      </w:r>
      <w:r>
        <w:rPr>
          <w:szCs w:val="24"/>
        </w:rPr>
        <w:t xml:space="preserve">tru kabineta noteikumu </w:t>
      </w:r>
      <w:r w:rsidRPr="00BD3B2C">
        <w:rPr>
          <w:szCs w:val="24"/>
        </w:rPr>
        <w:t>"Grozījumi Ministru kabineta 2020.gada 14.jūlija noteikumos Nr.458 "Noteikumi par kapitāla ieguldījumiem komersantos, kuru darbību ietekmējusi Covid-19 izplatība""</w:t>
      </w:r>
      <w:r>
        <w:rPr>
          <w:szCs w:val="24"/>
        </w:rPr>
        <w:t xml:space="preserve"> projektu, </w:t>
      </w:r>
      <w:r>
        <w:t xml:space="preserve">(turpmāk – noteikumu projekts), </w:t>
      </w:r>
      <w:r>
        <w:rPr>
          <w:szCs w:val="24"/>
        </w:rPr>
        <w:t xml:space="preserve">precizētu </w:t>
      </w:r>
      <w:r>
        <w:rPr>
          <w:color w:val="000000"/>
          <w:szCs w:val="24"/>
        </w:rPr>
        <w:t>tā sākotnējās ietekmes novērtējuma ziņojumu (anotāciju)</w:t>
      </w:r>
      <w:r>
        <w:rPr>
          <w:szCs w:val="24"/>
        </w:rPr>
        <w:t xml:space="preserve"> un izziņu par atzinumos sniegtajiem iebildumiem</w:t>
      </w:r>
      <w:r>
        <w:t xml:space="preserve"> un izsaka šādus iebildumus.</w:t>
      </w:r>
    </w:p>
    <w:p w:rsidR="00D6417C" w:rsidRDefault="00D6417C" w:rsidP="00D6417C">
      <w:pPr>
        <w:pStyle w:val="ListParagraph"/>
        <w:autoSpaceDE w:val="0"/>
        <w:autoSpaceDN w:val="0"/>
        <w:ind w:left="0"/>
        <w:jc w:val="both"/>
      </w:pPr>
    </w:p>
    <w:p w:rsidR="00D6417C" w:rsidRDefault="00D6417C" w:rsidP="00D6417C">
      <w:pPr>
        <w:numPr>
          <w:ilvl w:val="0"/>
          <w:numId w:val="1"/>
        </w:numPr>
      </w:pPr>
      <w:r>
        <w:t>Lūdzam papildināt noteikumu projekta 1.2. punktu, kas papildina noteikumus ar 6.</w:t>
      </w:r>
      <w:r>
        <w:rPr>
          <w:vertAlign w:val="superscript"/>
        </w:rPr>
        <w:t xml:space="preserve">1 </w:t>
      </w:r>
      <w:r>
        <w:t xml:space="preserve">punktu, ar atsauci arī uz </w:t>
      </w:r>
      <w:r>
        <w:rPr>
          <w:i/>
          <w:iCs/>
        </w:rPr>
        <w:t>Komisijas 2014. gada 25. jūnija Regulas (ES) Nr. 702/2014, ar kuru konkrētas atbalsta kategorijas lauksaimniecības un mežsaimniecības nozarē un lauku apvidos atzīst par saderīgām ar iekšējo tirgu, piemērojot Līguma par Eiropas Savienības darbību 107. un 108. pantu</w:t>
      </w:r>
      <w:r>
        <w:t xml:space="preserve">  I pielikuma 2.pielikumu, ņemot vērā, ka noteikumu ietvaros atbalstu paredzēts sniegt arī saimnieciskās darbības veicējiem, kas darbojas lauksaimniecības un mežsaimniecības nozarē. </w:t>
      </w:r>
    </w:p>
    <w:p w:rsidR="00D6417C" w:rsidRDefault="00D6417C" w:rsidP="00D6417C">
      <w:pPr>
        <w:numPr>
          <w:ilvl w:val="0"/>
          <w:numId w:val="1"/>
        </w:numPr>
      </w:pPr>
      <w:r>
        <w:t>Ņemot vērā, ka noteikumu projekta 1. un 2.pielikumā ir ietverti termini “vidējie komersanti” un “lielie komersanti”, lūdzam papildināt noteikumu projektu ar terminu “vidējie komersanti” un “lielie komersanti” skaidrojumu.</w:t>
      </w:r>
    </w:p>
    <w:p w:rsidR="00D6417C" w:rsidRDefault="00D6417C" w:rsidP="00D6417C">
      <w:pPr>
        <w:numPr>
          <w:ilvl w:val="0"/>
          <w:numId w:val="1"/>
        </w:numPr>
        <w:autoSpaceDE w:val="0"/>
        <w:autoSpaceDN w:val="0"/>
      </w:pPr>
      <w:r>
        <w:t xml:space="preserve">Ņemot vērā, ka noteikumu projekta 1.1. punktā iekļautie kritēriji nosaka stingrākas prasības attiecībā uz vidējiem uzņēmumiem, nekā noteikts </w:t>
      </w:r>
      <w:r>
        <w:rPr>
          <w:i/>
          <w:iCs/>
        </w:rPr>
        <w:t>Komisijas 2014. gada 17. jūnija Regulas (ES) Nr. 651/2014, ar ko noteiktas atbalsta kategorijas atzīst par saderīgām ar iekšējo tirgu, piemērojot Līguma 107. un 108. pantu</w:t>
      </w:r>
      <w:r>
        <w:t>, I pielikumā, lūdzam anotācijā skaidrot, ka noteikumu projekta 1.1. punktā iekļautie kritēriji par darbinieku skaitu un finanšu rādītājiem paredz stingrākas prasības, nekā nosaka valsts atbalsta regulējums.</w:t>
      </w:r>
    </w:p>
    <w:p w:rsidR="00D6417C" w:rsidRDefault="00D6417C" w:rsidP="00D6417C">
      <w:pPr>
        <w:numPr>
          <w:ilvl w:val="0"/>
          <w:numId w:val="1"/>
        </w:numPr>
        <w:autoSpaceDE w:val="0"/>
        <w:autoSpaceDN w:val="0"/>
      </w:pPr>
      <w:r>
        <w:t xml:space="preserve">Lūdzam anotācijas I sadaļas 2. punktā sniegt izvērtāku skaidrojumu par to, kāpēc noteikumu projekta 2. pielikumā noteiktās Aizdevuma procentu likmes atšķiras no likmēm, kas noteiktas </w:t>
      </w:r>
      <w:r>
        <w:rPr>
          <w:i/>
          <w:iCs/>
        </w:rPr>
        <w:t>Eiropas Komisijas 2020. gada 19. marta paziņojumā "Pagaidu regulējums valsts atbalsta pasākumiem, ar ko atbalsta ekonomiku pašreizējā Covid-19 uzliesmojuma situācijā" (C(2020)1863)</w:t>
      </w:r>
      <w:r>
        <w:t xml:space="preserve"> (turpmāk – Pagaidu regulējums), t.sk., kādi argumenti tika sniegti, lai saskaņotu šādu atšķirīgu pieeju ar Eiropas Komisiju.</w:t>
      </w:r>
    </w:p>
    <w:p w:rsidR="00D6417C" w:rsidRDefault="00D6417C" w:rsidP="00D6417C">
      <w:pPr>
        <w:numPr>
          <w:ilvl w:val="0"/>
          <w:numId w:val="1"/>
        </w:numPr>
      </w:pPr>
      <w:r>
        <w:lastRenderedPageBreak/>
        <w:t xml:space="preserve">Atkārtoti lūdzam aizpildīt un precizēt anotācijas V sadaļas 1.tabulā iekļauto informāciju par noteikumu projekta atbilstību Pagaidu regulējuma nosacījumiem atbilstoši </w:t>
      </w:r>
      <w:r>
        <w:rPr>
          <w:i/>
          <w:iCs/>
        </w:rPr>
        <w:t>Ministru kabineta 2009. gada 15. decembra instrukcijai Nr. 19 "Tiesību akta projekta sākotnējās ietekmes izvērtēšanas kārtība"</w:t>
      </w:r>
      <w:r>
        <w:t>, tai skaitā attiecībā uz noteikumu projekta 1.2. punkta, 1.3.punkta atbilstību (šobrīd norādītā atsauce uz Pagaidu regulējuma 66.punktu nav korekta), 1.4.punkta atbilstība.</w:t>
      </w:r>
    </w:p>
    <w:p w:rsidR="00D6417C" w:rsidRDefault="00D6417C" w:rsidP="00D6417C">
      <w:pPr>
        <w:rPr>
          <w:rFonts w:eastAsiaTheme="minorHAnsi"/>
        </w:rPr>
      </w:pPr>
    </w:p>
    <w:p w:rsidR="00D6417C" w:rsidRDefault="00D6417C" w:rsidP="00D6417C">
      <w:pPr>
        <w:ind w:firstLine="709"/>
      </w:pPr>
      <w:r>
        <w:t>Priekšlikums.</w:t>
      </w:r>
    </w:p>
    <w:p w:rsidR="00D6417C" w:rsidRDefault="00D6417C" w:rsidP="00D6417C"/>
    <w:p w:rsidR="00D6417C" w:rsidRDefault="00D6417C" w:rsidP="00D6417C">
      <w:pPr>
        <w:ind w:firstLine="709"/>
      </w:pPr>
      <w:r>
        <w:t xml:space="preserve">Ņemot vērā, ka noteikumu projekta ietvaros atbalstu plānots sniegt arī saimnieciskās darbības veicējiem, kas darbojas lauksaimniecības un mežsaimniecības nozarē, un ievērojot </w:t>
      </w:r>
      <w:r>
        <w:rPr>
          <w:i/>
          <w:iCs/>
        </w:rPr>
        <w:t>Komercdarbības atbalsta kontroles likuma</w:t>
      </w:r>
      <w:r>
        <w:t xml:space="preserve"> 9.pantā noteikto kompetenču sadalījumu starp komercdarbības atbalsta uzraudzības institūcijām, aicinām noteikumu projektu saskaņot ar Zemkopības ministriju.</w:t>
      </w:r>
    </w:p>
    <w:p w:rsidR="00D6417C" w:rsidRDefault="00D6417C" w:rsidP="00D6417C">
      <w:pPr>
        <w:autoSpaceDE w:val="0"/>
        <w:autoSpaceDN w:val="0"/>
        <w:ind w:left="851" w:hanging="284"/>
        <w:rPr>
          <w:rFonts w:ascii="Calibri" w:hAnsi="Calibri" w:cs="Calibri"/>
          <w:color w:val="1F497D"/>
          <w:sz w:val="22"/>
          <w:szCs w:val="22"/>
        </w:rPr>
      </w:pPr>
    </w:p>
    <w:p w:rsidR="00D6417C" w:rsidRDefault="00D6417C" w:rsidP="00D6417C">
      <w:pPr>
        <w:rPr>
          <w:szCs w:val="24"/>
        </w:rPr>
      </w:pPr>
    </w:p>
    <w:p w:rsidR="00D6417C" w:rsidRDefault="00D6417C" w:rsidP="00D6417C">
      <w:pPr>
        <w:rPr>
          <w:szCs w:val="24"/>
        </w:rPr>
      </w:pPr>
    </w:p>
    <w:p w:rsidR="00D6417C" w:rsidRDefault="00D6417C" w:rsidP="00D6417C">
      <w:pPr>
        <w:rPr>
          <w:szCs w:val="24"/>
        </w:rPr>
      </w:pPr>
    </w:p>
    <w:p w:rsidR="00D6417C" w:rsidRDefault="00D6417C" w:rsidP="00D6417C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D6417C" w:rsidRPr="00093674" w:rsidTr="005B63A3">
        <w:tc>
          <w:tcPr>
            <w:tcW w:w="4395" w:type="dxa"/>
          </w:tcPr>
          <w:p w:rsidR="00D6417C" w:rsidRPr="0039225C" w:rsidRDefault="00D6417C" w:rsidP="005B63A3">
            <w:pPr>
              <w:rPr>
                <w:szCs w:val="24"/>
              </w:rPr>
            </w:pPr>
            <w:r w:rsidRPr="0039225C">
              <w:rPr>
                <w:szCs w:val="24"/>
              </w:rPr>
              <w:t>Valsts sekretāre</w:t>
            </w:r>
          </w:p>
          <w:p w:rsidR="00D6417C" w:rsidRPr="0039225C" w:rsidRDefault="00D6417C" w:rsidP="005B6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D6417C" w:rsidRPr="0039225C" w:rsidRDefault="00D6417C" w:rsidP="005B63A3">
            <w:pPr>
              <w:jc w:val="center"/>
              <w:rPr>
                <w:szCs w:val="24"/>
              </w:rPr>
            </w:pPr>
            <w:r w:rsidRPr="0039225C">
              <w:rPr>
                <w:szCs w:val="24"/>
              </w:rPr>
              <w:t>(paraksts*)</w:t>
            </w:r>
          </w:p>
        </w:tc>
        <w:tc>
          <w:tcPr>
            <w:tcW w:w="2977" w:type="dxa"/>
          </w:tcPr>
          <w:p w:rsidR="00D6417C" w:rsidRPr="0039225C" w:rsidRDefault="00D6417C" w:rsidP="005B63A3">
            <w:pPr>
              <w:jc w:val="right"/>
              <w:rPr>
                <w:szCs w:val="24"/>
              </w:rPr>
            </w:pPr>
            <w:r w:rsidRPr="0039225C">
              <w:rPr>
                <w:szCs w:val="24"/>
              </w:rPr>
              <w:t>B.Bāne</w:t>
            </w:r>
          </w:p>
        </w:tc>
      </w:tr>
    </w:tbl>
    <w:p w:rsidR="00D6417C" w:rsidRDefault="00D6417C" w:rsidP="00D6417C">
      <w:pPr>
        <w:rPr>
          <w:szCs w:val="24"/>
        </w:rPr>
      </w:pPr>
    </w:p>
    <w:p w:rsidR="00D6417C" w:rsidRPr="00615936" w:rsidRDefault="00D6417C" w:rsidP="00D6417C">
      <w:pPr>
        <w:rPr>
          <w:szCs w:val="24"/>
        </w:rPr>
      </w:pPr>
    </w:p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D6417C" w:rsidTr="005B63A3">
        <w:trPr>
          <w:cantSplit/>
          <w:trHeight w:val="615"/>
        </w:trPr>
        <w:tc>
          <w:tcPr>
            <w:tcW w:w="8647" w:type="dxa"/>
          </w:tcPr>
          <w:p w:rsidR="00D6417C" w:rsidRDefault="00D6417C" w:rsidP="005B63A3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</w:p>
          <w:p w:rsidR="00D6417C" w:rsidRPr="00AA6DC1" w:rsidRDefault="00D6417C" w:rsidP="005B63A3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</w:tbl>
    <w:p w:rsidR="00D6417C" w:rsidRDefault="00D6417C" w:rsidP="00D6417C">
      <w:pPr>
        <w:rPr>
          <w:sz w:val="20"/>
        </w:rPr>
      </w:pPr>
    </w:p>
    <w:p w:rsidR="00D6417C" w:rsidRDefault="00D6417C" w:rsidP="00D6417C">
      <w:pPr>
        <w:ind w:firstLine="142"/>
        <w:rPr>
          <w:sz w:val="20"/>
        </w:rPr>
      </w:pPr>
      <w:r>
        <w:rPr>
          <w:sz w:val="20"/>
        </w:rPr>
        <w:t xml:space="preserve">Zakovska </w:t>
      </w:r>
      <w:r w:rsidRPr="000B1D24">
        <w:rPr>
          <w:sz w:val="20"/>
        </w:rPr>
        <w:t xml:space="preserve"> </w:t>
      </w:r>
      <w:r w:rsidRPr="008E730E">
        <w:rPr>
          <w:sz w:val="20"/>
        </w:rPr>
        <w:t>67095624</w:t>
      </w:r>
    </w:p>
    <w:p w:rsidR="00D6417C" w:rsidRDefault="00D6417C" w:rsidP="00D6417C">
      <w:pPr>
        <w:ind w:firstLine="142"/>
        <w:rPr>
          <w:sz w:val="20"/>
        </w:rPr>
      </w:pPr>
      <w:r w:rsidRPr="00E36AB1">
        <w:rPr>
          <w:sz w:val="20"/>
        </w:rPr>
        <w:t>Sarmite.Zakovska@fm.gov.lv</w:t>
      </w:r>
    </w:p>
    <w:p w:rsidR="00D6417C" w:rsidRDefault="00D6417C" w:rsidP="00D6417C">
      <w:pPr>
        <w:ind w:firstLine="142"/>
        <w:rPr>
          <w:sz w:val="20"/>
        </w:rPr>
      </w:pPr>
    </w:p>
    <w:p w:rsidR="00D6417C" w:rsidRDefault="00D6417C" w:rsidP="00D6417C">
      <w:pPr>
        <w:ind w:firstLine="142"/>
        <w:rPr>
          <w:sz w:val="20"/>
        </w:rPr>
      </w:pPr>
      <w:r>
        <w:rPr>
          <w:sz w:val="20"/>
        </w:rPr>
        <w:t xml:space="preserve">Deksne 67083823 </w:t>
      </w:r>
    </w:p>
    <w:p w:rsidR="00D6417C" w:rsidRDefault="00D6417C" w:rsidP="00D6417C">
      <w:pPr>
        <w:ind w:firstLine="142"/>
        <w:rPr>
          <w:sz w:val="20"/>
        </w:rPr>
      </w:pPr>
      <w:r>
        <w:rPr>
          <w:sz w:val="20"/>
        </w:rPr>
        <w:t>Anna.Deksne@fm.gov.lv</w:t>
      </w:r>
    </w:p>
    <w:p w:rsidR="006D6710" w:rsidRPr="00615936" w:rsidRDefault="006D6710" w:rsidP="00615936">
      <w:pPr>
        <w:ind w:firstLine="709"/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792DE6" w:rsidRPr="00615936" w:rsidRDefault="00792DE6" w:rsidP="007F3771">
      <w:pPr>
        <w:rPr>
          <w:szCs w:val="24"/>
        </w:rPr>
      </w:pPr>
    </w:p>
    <w:p w:rsidR="00792DE6" w:rsidRPr="00615936" w:rsidRDefault="00792DE6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15384D" w:rsidRPr="00615936" w:rsidRDefault="0015384D" w:rsidP="007F3771">
      <w:pPr>
        <w:rPr>
          <w:szCs w:val="24"/>
        </w:rPr>
      </w:pPr>
    </w:p>
    <w:p w:rsidR="00557B49" w:rsidRPr="00615936" w:rsidRDefault="00557B49" w:rsidP="007F3771">
      <w:pPr>
        <w:rPr>
          <w:szCs w:val="24"/>
        </w:rPr>
      </w:pPr>
    </w:p>
    <w:p w:rsidR="00557B49" w:rsidRPr="00615936" w:rsidRDefault="00557B49" w:rsidP="007F3771">
      <w:pPr>
        <w:rPr>
          <w:szCs w:val="24"/>
        </w:rPr>
      </w:pPr>
    </w:p>
    <w:p w:rsidR="003F2252" w:rsidRPr="00615936" w:rsidRDefault="003F2252" w:rsidP="007F3771">
      <w:pPr>
        <w:rPr>
          <w:szCs w:val="24"/>
        </w:rPr>
      </w:pP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0DE0" w:rsidRDefault="00510DE0">
      <w:r>
        <w:separator/>
      </w:r>
    </w:p>
  </w:endnote>
  <w:endnote w:type="continuationSeparator" w:id="0">
    <w:p w:rsidR="00510DE0" w:rsidRDefault="0051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9F4211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384D" w:rsidRDefault="0015384D">
    <w:pPr>
      <w:pStyle w:val="Footer"/>
      <w:jc w:val="center"/>
    </w:pP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0DE0" w:rsidRDefault="00510DE0">
      <w:r>
        <w:separator/>
      </w:r>
    </w:p>
  </w:footnote>
  <w:footnote w:type="continuationSeparator" w:id="0">
    <w:p w:rsidR="00510DE0" w:rsidRDefault="00510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BA2D31"/>
    <w:multiLevelType w:val="hybridMultilevel"/>
    <w:tmpl w:val="77C2C0D4"/>
    <w:lvl w:ilvl="0" w:tplc="3D00A3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02AA8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0DE0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4211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417C"/>
    <w:rsid w:val="00D65123"/>
    <w:rsid w:val="00D70A7C"/>
    <w:rsid w:val="00D73652"/>
    <w:rsid w:val="00D873B0"/>
    <w:rsid w:val="00DA3EAF"/>
    <w:rsid w:val="00DA7256"/>
    <w:rsid w:val="00DA7D9E"/>
    <w:rsid w:val="00DB1E3A"/>
    <w:rsid w:val="00DB3101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417C"/>
    <w:pPr>
      <w:ind w:left="720"/>
      <w:jc w:val="left"/>
    </w:pPr>
    <w:rPr>
      <w:rFonts w:eastAsiaTheme="minorHAnsi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CD001-723C-42BD-852C-769653E1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2356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"Grozījum</dc:subject>
  <dc:creator>Deksne A.</dc:creator>
  <dc:description>Sagatavots ALS E-aprites vidē.</dc:description>
  <cp:lastModifiedBy>Baiba Bāne</cp:lastModifiedBy>
  <cp:revision>5</cp:revision>
  <cp:lastPrinted>2007-06-25T10:49:00Z</cp:lastPrinted>
  <dcterms:created xsi:type="dcterms:W3CDTF">2021-08-27T09:15:00Z</dcterms:created>
  <dcterms:modified xsi:type="dcterms:W3CDTF">2021-08-30T08:53:00Z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