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25-TA-1058: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ilgtspējīgas enerģijas tehnoloģiju attīstības ietvars līdz 2035.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izskatījusi Ekonomikas ministrijas sagatavoto atjaunināto informatīvā ziņojuma “Latvijas ilgtspējīgas enerģijas tehnoloģiju attīstības ietvars līdz 2035.gadam”, id. Nr. 25-TA-1058 (turpmāk - Ziņojums)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vispirms vēlas pateikties, ka, izstrādājot atjaunināto Ziņojuma redakciju, kopumā ir tikuši ņemti vērā FICIL iepriekš izteiktie iebildumi un priekšlikumi. Taču, iepazīstoties ar atjaunināto redakciju, papildus vēršam uzmanību uz šādiem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izsaka iebildumu pie 1.2. nodaļas. CO2 uztveršana dažādās industrijās potenciāli var kalpot par vai radīt izejvielas jaunu produktu un preču ražošanai. Tomēr šim mērķim primāri kalpos tieši ilgtspējīgā jeb zaļā CO2 uztveršana, jo šo sadaļu  iespējams izmantot vai pārveidot lietošanai jaunu produktu ražošanā. Lūdzam iekļaut Ziņojumā norādi par  to, ka CO2 zaļās komponentes uztveršana un pārstrāde ir iespējama no biomasas sadedzināšanas SIA Gren Latvija koģenerācijas stacijās. Nākotnē tā būs iespējama no sadedzināto atkritumu nefosilās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Ziņojumā ir norādīts, ka lokālās komponentes iekļaušana CCS ietilpst šī Ziņojuma tvērum. Tādēļ ir būtiski 1.6.nodaļas 3.punkta pirmajā apakšpunktā konkretizēt, ka lokālās komponentes iekļaušana CCS ir veicināma, pielietojot jau pašlaik pieejamo un turpmāk nākotnē citos īstenotajos industriālajos CO2 uztveršanas projektos iegūto ilgtspējīgo jeb zaļo CO2 komponenti. Proti, veicināma ir lokālu komponenšu un lokāli iegūtu CO2 zaļo komponenšu iekļaušana CCS tehnoloģiskajos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šo iebildumu, FICIL ņem vērā 1.2.nodaļas pēdējā rindkopā ietverto norādi, ka Klimata un enerģētikas ministrija plāno jaunu, atsevišķu informatīvo ziņojumu par CCS, tomēr lokālā komponente CCS tiekot saglabāta šī Ziņojuma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izsaka iebildumu pie 3.4.un 3.7.nodaļas. Tajās vispārīgi norādīts iestāžu pienākums izglītot sabiedrību vai veicināt sabiedrības izpratni par atjaunojamo enerģiju un ūdeņraža projektu īstenošanu. Apzinoties, ka sabiedrības bieži noraidošā attieksme un nostāja, ka projekti kopumā ir nepieciešami, taču ne mūsu pagalmā, FICIL aicina nenivelēt šo būtisko jautājumu līdz vispārinātām frāzēm par informēšanas vai izglītošanas pienākumu. FICIL aicina iekļaut ziņojumā vismaz 2-3 konkrētākas norādes par to, kādas aktivitātes šajā jomā būtu īstenojamas un kā tiks gūta pārliecība par šo aktivitāšu sniegto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pārrunāta sanāksmē ar FICIL. Šī informatīvā ziņojuma kontekstā lokālā komponente nav no vietējām izejvielām iegūts CO2, bet gan vietējās tehnoloģijas iekārtās. Ekonomikas ministrija piekrīt FICIL idejai pēc būtības, bet šis jautājums ir jāskata KEM virzītā informatīvā ziņojumā par CO2 uztveršanu, transportēšanu un noglabāšanu. Informatīvais ziņojums precizēts, lai novērstu iespējamos pārpratumus par to uz ko attiecas lokālā komponente.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FICIL iebildumu pie 3.4.un 3.7.nodaļas. redakcija papildināta ar pasākumu piemēriem 3.7.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precizēto redakciju saņemts FICIL saskaņojums, kas pievienots pie papildus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1.6. aktivitāti joprojām norādām, ka neatbalstām paātrināto kārtību normatīvā regulējuma grozījumu izskatīšanai attiecībā uz rūpniecības un tehnoloģisko attīstību, ņemot vērā, ka šāda procesa rezultātā iespējams palaist garām būtiskus aspektus kvalitatīva normatīvā regulējuma izstrādei un attiecīgi ietekmētu arī ieguldītās, plānotās vai pieejamās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aktivitātē, joprojām aicinām skaidrot ar kādu kapacitāti tiks nodrošināta individuāla pieeja liela mēroga neto nulles emisiju tehnoloģiju ražošanas investīciju projektu jeb vadošo projektu (angļu val. flagship projects) izvietošanai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Paātrinātā kārība normatīvā regulējuma attīstībai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ar LDDK tika panākta vienošanās, ka individuālā pieeja liela mēroga neto nulles emisiju tehnoloģiju ražošanas investīciju projektu ieviešanai paliek un Ekonomikas ministra strādās kopā ar LIAA nepieciešamās kapacitātes prioritizēšanai.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precizēto redakciju saņemts LDDK saskaņojums, kas pievienots pie papildus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sniedz sekojošus iebildumus par sagatavoto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1.6. aktivitātes 8. uzdevumu nepieciešams skaidrot, kādi būs kritēriji, lai noteiktu investīcijas veicinošo projektu prioritāti, jeb iekļaušanu "zaļajā koridorā". Norādām, ka jau šobrīd ir vērojama situācija, ka "zaļajā koridorā" iekļautie projekti gaida apstiprināšanu un ievelkas kapacitātes trūkuma dēļ. Aicinām pārskatīt esošo mehānismu efektivitāti un rast risinājumus to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1.6. aktivitātes 8. uzdevumu norādām, ka neatbalstām paātrināto kārtību normatīvā regulējuma grozījumu izskatīšanai attiecībā uz rūpniecības un tehnoloģisko attīstību, ņemot vērā, ka šāda procesa rezultātā iespējams palaist garām būtiskus aspektus kvalitatīva normatīvā regulējuma izstrādei un attiecīgi ietekmētu arī ieguldītās, plānotās vai pieejamās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aktivitātes 8. uzdevumā aicinām skaidrot ar kādu kapacitāti tiks nodrošināta individuāla pieeja liela mēroga neto nulles emisiju tehnoloģiju ražošanas investīciju projektu jeb vadošo projektu (angļu val. flagship projects) izvietošanai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2.6. aktivitātē minētā sadarbības formāta izveidošanai ar uzņēmēju organizācijām. Norādām, ka jau šobrīd ir daudz  dažādi formāti, kuros var risināt jautājumus par atbalsta programmu rūpniecības zaļināšanai izstrādi. Attiecīgi LDDK ieskatā jaunu platformu vai formātu izveidošana uzliek papildu administratīvo slogu valsts pārvaldei.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Uzdevums pārformulēts attiecinot uz  Regulas 2024/1735 noteiktajiem stratēģiskajiem projektiem un regulā noteiktajiem termiņiem, kas Latvijā jāīsteno obligāti. Šobrīd nav sagaidāms, ka šādi projekti būs daudz, ka ietekmēs atļauju izsniegšanu citiem projektiem. Ja ir konstatētas problēmas ar zaļā koridora piemērošanu, tad Ekonomikas ministrija ir gatava tās risināt, bet tas ir plašāks jautājums kā šis informatīvais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Paātrinātā kārtība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aicinājumu skaidrot ar kādu kapacitāti tiks nodrošināta individuāla pieeja liela mēroga neto nulles emisiju tehnoloģiju ražošanas investīciju projektu jeb vadošo projektu izvietošanai Latvijā, informējam, ka nav plānots palielināt valsts pārvaldes štatus, bet gan uzlabot starpinstitūciju sadarbību un nodrošināt prioritāti lieka mēroga investīciju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un precizēts, ka uzdevums veicams izmantojot esošos sadarbības formātus un mehānismus.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nodaļā bez detalizētas  analīzes veikšanas tiek  secināts, ka krātuves izveidošana Latvijā  CO</w:t>
            </w:r>
            <w:r w:rsidR="00000000" w:rsidRPr="00000000" w:rsidDel="00000000">
              <w:rPr>
                <w:vertAlign w:val="subscript"/>
                <w:rtl w:val="0"/>
              </w:rPr>
              <w:t xml:space="preserve">2</w:t>
            </w:r>
            <w:r w:rsidR="00000000" w:rsidRPr="00000000" w:rsidDel="00000000">
              <w:rPr>
                <w:rtl w:val="0"/>
              </w:rPr>
              <w:t xml:space="preserve"> uzglabāšanai ir tehniski un ekonomiski optimālākais risinājums un, pamatojoties uz to noteiktas veicamās aktivitātes un sasniedzamie mērķi.  Lai tiku īstenots pamatots un piemērotākais CO₂ uztveršanas, transportēšanas un uzglabāšanas risinājums Latvijā, informatīvā ziņojuma 1.6. apakšnodaļā minētajā 3. uzdevumā būtu jāparedz CO</w:t>
            </w:r>
            <w:r w:rsidR="00000000" w:rsidRPr="00000000" w:rsidDel="00000000">
              <w:rPr>
                <w:vertAlign w:val="subscript"/>
                <w:rtl w:val="0"/>
              </w:rPr>
              <w:t xml:space="preserve">2</w:t>
            </w:r>
            <w:r w:rsidR="00000000" w:rsidRPr="00000000" w:rsidDel="00000000">
              <w:rPr>
                <w:rtl w:val="0"/>
              </w:rPr>
              <w:t xml:space="preserve"> uzglabāšanas iespēju izpēte un CO</w:t>
            </w:r>
            <w:r w:rsidR="00000000" w:rsidRPr="00000000" w:rsidDel="00000000">
              <w:rPr>
                <w:vertAlign w:val="subscript"/>
                <w:rtl w:val="0"/>
              </w:rPr>
              <w:t xml:space="preserve">2</w:t>
            </w:r>
            <w:r w:rsidR="00000000" w:rsidRPr="00000000" w:rsidDel="00000000">
              <w:rPr>
                <w:rtl w:val="0"/>
              </w:rPr>
              <w:t xml:space="preserve"> uztveršanas, transportēšanas un uzglabāšanas nodrošināšanas risinājumu analīze, un, pamatojoties uz analīzes rezultātiem, nepieciešamā normatīvā regulējuma izstrāde. Atbilstoši precizējumi būtu veicami visā informatīvā ziņojuma 1. nodaļā.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 uzdevumi un aktivitātes oglekļa dioksīda uztveršanas, noglabāšanas un transportēšanas jomā izslēgti, ņemot vērā, ka KEM plāno atsevišķu informatīvo ziņojumu, kas apskatīs šos jautājumus.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 apakšnodaļā norādīti uzdevumi, 1.6. apakšnodaļā aktivitātes un 1.7. apakšnodaļā panākumu faktori ilgtspējīgas enerģijas tehnoloģiju attīstībai. Informatīvo ziņojumu nepieciešams papildināt, norādot subjektus, kam uzdevumi jāpilda, jāveic aktivitātes vai jānodrošina, ka panākumu faktori tiek ievēroti.  Tas pats attiecas uz informatīvā ziņojuma  2.5, 2.6. un 2.7. apakšnodaļām, kurās būtu jānorāda kam jāpilda uzdevumi, jāveic aktivitātes vai jānodrošina, ka panākumu faktori tiek ievēroti attiecībā uz rūpniecības zaļināšanu.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redakcionāli precizēts, norādot atbildības.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7. uzdevuma 1. punktu, jo saskaņā ar Augstskolu likuma 15.</w:t>
            </w:r>
            <w:r w:rsidR="00000000" w:rsidRPr="00000000" w:rsidDel="00000000">
              <w:rPr>
                <w:vertAlign w:val="superscript"/>
                <w:rtl w:val="0"/>
              </w:rPr>
              <w:t xml:space="preserve">1 </w:t>
            </w:r>
            <w:r w:rsidR="00000000" w:rsidRPr="00000000" w:rsidDel="00000000">
              <w:rPr>
                <w:rtl w:val="0"/>
              </w:rPr>
              <w:t xml:space="preserve">pantu Augstskolas senāts var lemt par studiju programmu saturu. Šajā punktā vārdi "izglītības līmenis" jāmaina uz izglītības pakāpēm atbilstošajā locījumā, saskaņā ar Izglītības likuma 5.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pārfrāzēt aktivitāti 49. lapaspusē: "Izglītības un zinātnes ministrijai sadarbībā ar starpnozaru grupu un augstākās izglītības iestādēm, ņemot vērā uzņēmēju nākotnes vajadzības, izstrādāt mācību programmas profesionālajām un augstākās izglītības iestādēm, lai sagatavotu speciālistus ūdeņraža nozarē, ņemot vērā ES Ūdeņraža akadēmijas pieredzi un priekšlikumus", jo atbilstoši Augstskolu likuma 5. panta 2. daļai augstskolas izstrādā studiju programmas, nevis Izglītības un zinātnes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sadarbībā  ar Ekonomikas ministriju un augstākās izglītības iestāžu pārstāvjiem, ņemot vērā uzņēmēju nākotnes vajadzības, izstrādāt mācību programmas profesionālās izglītības iestādēm, lai sagatavotu speciālistus ūdeņraža nozarē, ņemot vērā ES Ūdeņraža  akadēmijas pieredzi un priekšlikumus. Ekonomikas ministrijai, prognozējot darba tirgus vajadzības, rosināt Augstākās izglītības iestādēm izstrādāt studiju programmas speciālistu sagatavošanai ūdeņraža nozarē, ņemot vērā ES Ūdeņraža akadēmijas pieredzi un priekšlikumus un ievērojot pēctecību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28,lpp. 2.4. sadaļā mērķis "Palielināt AER īpatsvaru" būtu jānosaka atbilstoši Atjaunīgās enerģijas direktīvai (ES) 2023/2413 - kopā ar rūpniecības neenerģetiskajām vajadzībām un IKT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zemsvītras atsauci, kas precizē mērķi, ņemot vērā KEM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nekorekti atspoguļoti energobilances dati (kļūdaini izslēgti atsevišķi sektori vai enerģijas veidi, pielietota nekorekta metodoloģija, vai arī tā netiek skaidrota). Lūdzam precizēt 22,-24. lpp. izmantotos datus. Detalizēti komentāri ziņojuma sagatavotājam tiks nosūtīti ārpus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reģionālo inovāciju atbalsta programmu un centru attīstību un specializāciju kādā no neto nulles emisiju tehnoloģiju attīstības jomām, izejot no vietējām kompetencēm (izglītības un pētniecības iestādes, rūpniecības uzņēmumi, akseleratori, utt.) un resursu potenciāla, piemēram, Latgalē vai Zemgalē bioekenomikas (biodegvielu) jomā, Kurzemē vēja enerģijas un ūdeņraža tehnoloģiju jomā, </w:t>
            </w:r>
            <w:r w:rsidR="00000000" w:rsidRPr="00000000" w:rsidDel="00000000">
              <w:rPr>
                <w:b w:val="1"/>
                <w:rtl w:val="0"/>
              </w:rPr>
              <w:t xml:space="preserve">lai tādējādi veicinātu iedzīvotāju skaita samazināšanos reģionos</w:t>
            </w:r>
            <w:r w:rsidR="00000000" w:rsidRPr="00000000" w:rsidDel="00000000">
              <w:rPr>
                <w:rtl w:val="0"/>
              </w:rPr>
              <w:t xml:space="preserve"> un radītu jaunu tautsaimniecības sektoru attīstību un līdz ar to ienākumu bāzes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tiešam mērķis ir iedzīvotāju skaita samazināšanās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bija kļūdaina, kļūda novērsta un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tiesību akta projektu </w:t>
            </w:r>
            <w:r w:rsidR="00000000" w:rsidRPr="00000000" w:rsidDel="00000000">
              <w:rPr>
                <w:i w:val="1"/>
                <w:rtl w:val="0"/>
              </w:rPr>
              <w:t xml:space="preserve">23-TA-3313: Par Latvijas un Igaunijas atkrastes vēja enerģijas kopprojekta ELWIND īstenošanas gaitu</w:t>
            </w:r>
            <w:r w:rsidR="00000000" w:rsidRPr="00000000" w:rsidDel="00000000">
              <w:rPr>
                <w:rtl w:val="0"/>
              </w:rPr>
              <w:t xml:space="preserve"> Finanšu ministrija savā 2025.gada 13.marta atzinumā izteica iebildumu, ka: “</w:t>
            </w:r>
            <w:r w:rsidR="00000000" w:rsidRPr="00000000" w:rsidDel="00000000">
              <w:rPr>
                <w:i w:val="1"/>
                <w:rtl w:val="0"/>
              </w:rPr>
              <w:t xml:space="preserve">Šobrīd saskaņošanas procesā esošā likumprojekta “Par atkrastes vēja parku Latvijas jūras ūdeņos un Latvijas – Igaunijas ceturto starpsavienojumu” (23-TA-1030) (turpmāk – ELWIND likumprojekts) ietvaros tā izstrādātājs ir skaidrojis, ka konkrētā atkrastes vēja parka attīstīšana ir plānota bez komercdarbības atbalsta (skat., piemēram, ELWIND likumprojekta aktuālās izziņas 97.punktu, kurā Ekonomikas ministrija ir norādījusi, ka “Skaidrojam, ka attīstītājs atkrastes vēja parka būvniecību, ekspuatāciju un demontāžu īstenos no saviem privātiem līdzekļiem, kas ir brīvi no komercdarbības atbalsta.”). Tomēr no informatīvā ziņojuma projekta ir secināms, ka ELWIND atkrastes vēja parka projekta īstenošanai potenciāli varētu tikt apsvērta kādu komercdarbības atbalsta mehānismu ieviešana (skat., piemēram, informatīvā ziņojuma projekta 5. un 6.lpp. veiktos konsultanta secinājumus, ka “[..] Ernest and Young ieskatā ir izsverams divvirzienu līgums par cenu starpību, kas nodrošinātu zemākas finansējuma izmaksas, nosakot ierobežojumus valsts atbalsta apjomam konkrētam periodam [..]” un “[..] Lai palielinātu ELWIND projekta ekonomiskos ieguvumus, nepieciešams [..] padarīt ELWIND projekta izsoli pievilcīgāku, atbalstot pieslēguma izbūvi un izvērtējot atbilstošākā valsts atbalsta instrumenta ieviešanu.”). Ņemot vērā iepriekš minēto, lūdzam informatīvā ziņojuma projektu tam piemērotā vietā papildināt ar informāciju, ka gadījumā, ja ELWIND projekta īstenošanai tiks plānoti kādi komercdarbības atbalsta mehānismi, tie tiks izstrādāti un ieviesti atbilstoši komercdarbības atbalsta kontroles regulējumam, nepieciešamības gadījumā pirms to ieviešanas tos saskaņojot ar Eiropas Komisiju, kā arī informatīvā ziņojuma projektā norādīt, ka atbilstoši papildinājumi tiks veikti arī ELWIND likumprojektā.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ņemot vērā, ka informatīvajā ziņojumā (6.lpp.) ir minēts, ka </w:t>
            </w:r>
            <w:r w:rsidR="00000000" w:rsidRPr="00000000" w:rsidDel="00000000">
              <w:rPr>
                <w:i w:val="1"/>
                <w:rtl w:val="0"/>
              </w:rPr>
              <w:t xml:space="preserve">“Informatīvais ziņojums Par Latvijas un Igaunijas atkrastes vēja enerģijas kopprojekta ELWIND īstenošanas gaitu paredz, ka pie šī brīža atkrastes vēja enerģijas attīstībai nelabvēlīgās situācijas un ieviesta valsts atbalsta mehānisma, Ekonomiskais ieguvums Latvijai no ELWIND projekta būvniecības un ekspluatācijas posma pārsniegtu aplēsto nepieciešamo valsts atbalsta apjomu, ja palielinātu lokālās komponentes apjomu, attīstot vismaz vienu atkrastes vēja enerģijas parkus apkalpojošo ostu Latvijā vai piesaistot atkrastes vēja parku komponenšu ražotājus, kā arī attīsta ūdeņraža un no tā atvasināto produktu ražošanu Latvijā</w:t>
            </w:r>
            <w:r w:rsidR="00000000" w:rsidRPr="00000000" w:rsidDel="00000000">
              <w:rPr>
                <w:rtl w:val="0"/>
              </w:rPr>
              <w:t xml:space="preserve">”, lūdzam papildināt informatīvo ziņojumu ar informāciju, ka, ieviešot šādus atbalsta pasākumus, tie tiks izstrādāti un īstenoti atbilstoši komercdarbības atbalsta kontroles regulējumam, nepieciešamības gadījumā pirms to ieviešanas tos saskaņojot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ievads papildināts ar teikumu - "Gadījumā, ja īstenojot šo informatīvo ziņojumu tiks veiktas aktivitātes, kas uzskatāmi par komercdarbības atbalstu, tie tiks izstrādāti un īstenoti atbilstoši komercdarbības atbalsta kontroles regulējumam, nepieciešamības gadījumā pirms to ieviešanas tos saskaņojot ar Eiropas Komisiju." Attiecībā par ELWIND projektu, ja nepieciešams, var to detalizētāk norādīt nākamajā ELWIND informatīvajā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komercdarbības atbalsta nosacījumu īstenošana ir pašsaprotama, arī gadījumā, ja tas nav speciāli uzsvērts.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Līguma par Eiropas savienības darbību 107.panta nosacījumi, t.sk. par atbalsta pasākumu paziņošanu Eiropas Komisijai, ja vien atbalsta pasākums netiek ieviests, saskaņā ar kādu no vispārējā grupu atbrīvojuma no paziņošanas prasībām regulām, ir jāievēro attiecībā uz jebkādu publisko finansējumu, t.sk. arī uz dalībvalstu nacionālajām subsīdijām, lūdzam precizēt informāciju, kas norādīta pie ūdeņraža izsoļu mehānisma informatīvā ziņojuma 39. un 40.lpp., svītrojot informāciju: “I</w:t>
            </w:r>
            <w:r w:rsidR="00000000" w:rsidRPr="00000000" w:rsidDel="00000000">
              <w:rPr>
                <w:i w:val="1"/>
                <w:rtl w:val="0"/>
              </w:rPr>
              <w:t xml:space="preserve">zmantojams dalībvalstu nacionālajām subsīdijām, nepakļaujoties sarežģītai valsts atbalsta saskaņošanai ar Eiropas Komisij</w:t>
            </w:r>
            <w:r w:rsidR="00000000" w:rsidRPr="00000000" w:rsidDel="00000000">
              <w:rPr>
                <w:rtl w:val="0"/>
              </w:rPr>
              <w:t xml:space="preserve">u” un “</w:t>
            </w:r>
            <w:r w:rsidR="00000000" w:rsidRPr="00000000" w:rsidDel="00000000">
              <w:rPr>
                <w:i w:val="1"/>
                <w:rtl w:val="0"/>
              </w:rPr>
              <w:t xml:space="preserve">Latvijai šī pieeja var nodrošināt iespēju atbalstīt ūdeņraža ražošanas projektus bez ilgstošām administratīvām procedūrām, kas parasti nepieciešamas valsts atbalsta programmu apstiprināšanai ES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plānotos pasākumus, tiek plānoti dažādu valsts atbalsta pasākumu, t.sk. jaunu atbalsta programmu izstrāde, lūdzam informatīvo ziņojumu papildināt ar atrunu, ka atbildīgās ministrijas, plānojot atbalsta pasākumus, tos izvērtēs komercdarbības atbalsta kontekstā un nepieciešamības gadījumā piemēros atbilstošu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ievads papildināts ar teikumu - "Gadījumā, ja īstenojot šo informatīvo ziņojumu tiks veiktas aktivitātes, kas uzskatāmi par komercdarbības atbalstu, tie tiks izstrādāti un īstenoti atbilstoši komercdarbības atbalsta kontroles regulējumam, nepieciešamības gadījumā pirms to ieviešanas tos saskaņojot ar Eiropas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konkrētajā gadījumā ir pamatoti un atbilstoši Ministru kabineta 2021. gada 7. septembra noteikumu Nr. 606 "Ministru kabineta kārtības rullis" 47. punktam jautājumu par Latvijas ilgtspējīgas enerģijas tehnoloģiju attīstības ietvara noteikšanu līdz 2035. gadam virzīt ar informatīvo ziņojumu un Ministru kabineta sēdes protokollēmuma projektu, bet ne attiecīgi politikas plānošanas dokumentu (piemēram, konceptuālu ziņojumu) un Ministru kabineta rīkojumu projektu. Proti, aicinām skaidrot, vai visi informatīvajā ziņojumā norādītie uzdevumi ir iekļauti citos Latvijas politikas plānošanas dokumentos, kas norādīti informatīvā ziņojuma 5. - 6. lpp. Ja visi iekļautie uzdevumi ir atrunāti citos Ministru kabineta atbalstītos plānošanas dokumentos, aicinām informatīvajā ziņojuma 5. lpp. precizēt tā mērķi:"[..] noteikt nepieciešamos rīcības virzienus un prioritāros pasākumus [..]," ietverot skaidrojumu, ka informatīvais ziņojums sniedz, piemēram, pārskatu par citos Latvijas politikas plānošanas dokumentos ietverto. Tomēr, ja attiecīgu skaidrojumu nav iespējams sniegt, lūdzam informatīvo ziņojumu pārveidot par konceptuālu ziņojumu un Ministru kabineta rīkojumu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2021. gada 7. septembra noteikumu Nr.606 "Ministru kabineta kārtības rullis" 47. punktu informatīvais ziņojums ir informācija vai pārskats par Ministru kabineta kompetencē esoša jautājuma risināšanas gaitu, par Ministru kabineta atbalstīta plānošanas dokumenta īstenošanu vai tiesību akta izpildi, un tajā neietver konceptuālus jautājumus. Saskaņā ar informatīvā ziņojuma norādīto, proti, </w:t>
            </w:r>
            <w:r w:rsidR="00000000" w:rsidRPr="00000000" w:rsidDel="00000000">
              <w:rPr>
                <w:b w:val="1"/>
                <w:rtl w:val="0"/>
              </w:rPr>
              <w:t xml:space="preserve">noteikt nepieciešamos rīcības virzienus</w:t>
            </w:r>
            <w:r w:rsidR="00000000" w:rsidRPr="00000000" w:rsidDel="00000000">
              <w:rPr>
                <w:rtl w:val="0"/>
              </w:rPr>
              <w:t xml:space="preserve"> un </w:t>
            </w:r>
            <w:r w:rsidR="00000000" w:rsidRPr="00000000" w:rsidDel="00000000">
              <w:rPr>
                <w:b w:val="1"/>
                <w:rtl w:val="0"/>
              </w:rPr>
              <w:t xml:space="preserve">prioritāros pasākumus </w:t>
            </w:r>
            <w:r w:rsidR="00000000" w:rsidRPr="00000000" w:rsidDel="00000000">
              <w:rPr>
                <w:rtl w:val="0"/>
              </w:rPr>
              <w:t xml:space="preserve">(skat. informatīvā ziņojuma 5. lpp.) ilgtspējīgas enerģijas tehnoloģiju izmantošanai un ražošanas attīstībai u.tml. (skat., informatīvā ziņojuma 1.5., 1.6., 2.5., 2.6., 3.6., 3.7. apakšnodaļas, kurās tiek noteikts, piemēram, pilnveidot atbalsta nosacījumus Latvijā reģistrētiem uzņēmumiem; nodrošināt nepieciešamo regulējumu normatīvajos aktos CO2 uztveršanas, transportēšanas un uzglabāšanas sistēmas izveidošanai; līdz 2030. gada beigām nodrošināt pilnvērtīgu CCS sistēmu), informatīvā ziņojuma vietā Ministru kabinetā būtu virzāms konceptuālais ziņojums vai cita veida atbilstošs politikas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nepieciešamību informatīvajā ziņojumā attiecīgo uzdevumu izpildei norādīt atbildīgo institūciju un attiecīgi Ministru kabineta sēdes protokollēmuma projektā norādīt atbildību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Attiecībā par oglekļa dioksīda uztveršanu un noglabāšanu precizēts sagaidāmais virziens, līdz ar to nebūs nepieciešama konceptuāla izšķiršanās MK līmenī. Aktivitātēm norādītas konkrētas atbildīgās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redakcijā uzdevumi par oglekļa dioksīda uztveršanu un noglabāšanu izslēgti, ņemot vērā vienošanos ar KEM, ka šos jautājumus detalizēti apskatīs cits, KEM virzīts informatīvais ziņojums.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uzdevuma formulējumu, kas attiecas uz profesionālās izglītības programmu izstrādi vai pilnveidi (piemēram, 16., 17. un 49. lpp.), papildinot to ar nosacījumu, ka par obligātu priekšnoteikumu jāparedz, lai attiecīgās nozares/ starpinstitucionālā darba grupa izstrādā profesionālās kvalifikācijas prasības jaunām kvalifikācijām vai aktualizē esošās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Profesionālās izglītības likuma 22. panta otro punktu un 24. panta trešo daļu profesijas standarts un tajā ietvertās profesionālās kvalifikācijas prasības ir pamatdokumenti, kas reglamentē profesionālās izglītības saturu. Tie ir obligāts priekšnoteikums izglītības iestādēm, lai izstrādātu jaunas profesionālās izglītības programmas vai pilnveidot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profesionālās kvalifikācijas prasību apstiprināšanas Izglītības un zinātnes ministrija būs pilnvarota uzraudzīt šo prasību iekļaušanu profesionālās izglītības programmās un veicināt to ieviešanu ministrijas padotībā esošajās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attiecīgi papildināts.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sadarbībā  ar Ekonomikas ministriju un augstākās izglītības iestāžu pārstāvjiem, ņemot vērā uzņēmēju nākotnes vajadzības, izstrādāt mācību programmas profesionālās izglītības iestādēm, lai sagatavotu speciālistus ūdeņraža nozarē, ņemot vērā ES Ūdeņraža  akadēmijas pieredzi un priekšlikumus. Ekonomikas ministrijai, prognozējot darba tirgus vajadzības, rosināt Augstākās izglītības iestādēm izstrādāt studiju programmas speciālistu sagatavošanai ūdeņraža nozarē, ņemot vērā ES Ūdeņraža akadēmijas pieredzi un priekšlikumus un ievērojot pēctecību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3.9. sadaļā ir izvērsti skaidroti pieņēmumi un iespējamie scenāriji ūdeņraža ekosistēmas attīstības rezultatīvajiem rādītājiem. Lūdzam izvērtēt iespēju papildināt arī informatīvā ziņojuma 1.8 un 2.8 sadaļas ar apsvērumiem, uz kā pamata noteikti rezultatīvie rādītāji ilgtspējīgas enerģijas tehnoloģiju ražošanas attīstībai un rūpniecības sektora zaļināšanai.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Tomēr rezultatīvie rādītāji sadaļās noteikti pēc dažādiem principiem un līdz ar to detalizācija ir atšķirīga, jo ienākošo investīciju apjomu aprēķināt īsti nevar, līdz ar to piedāvātie rādītāji ir vairāk mērķlielumi. Savukārt daļa rezultatīvo rādītāju izriet no Nacionālā enerģētikas un klimata plāna uzdevumiem.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 apakšnodaļas "Aktivitātes" sekojošajā rindkopā</w:t>
            </w:r>
            <w:r w:rsidR="00000000" w:rsidRPr="00000000" w:rsidDel="00000000">
              <w:rPr>
                <w:b w:val="1"/>
                <w:rtl w:val="0"/>
              </w:rPr>
              <w:t xml:space="preserve"> "EM sadarbībā ar KEM izvērtēt un īstenot mehānismus ar mērķi samazināt tarifus energointensīvajiem uzņēmumiem, jo īpaši pārvades un sadales elektrotīklu tarifus gadījumos, kad tiek izmantota AER saražotā elektroenerģija tiešo pirkšanas līgumu ietvarā."  </w:t>
            </w:r>
            <w:r w:rsidR="00000000" w:rsidRPr="00000000" w:rsidDel="00000000">
              <w:rPr>
                <w:rtl w:val="0"/>
              </w:rPr>
              <w:t xml:space="preserve">lūdzam izvērtēt iespēju veikt korekcijas un atteikties no palīgteikuma "</w:t>
            </w:r>
            <w:r w:rsidR="00000000" w:rsidRPr="00000000" w:rsidDel="00000000">
              <w:rPr>
                <w:b w:val="1"/>
                <w:rtl w:val="0"/>
              </w:rPr>
              <w:t xml:space="preserve">jo īpaši pārvades un sadales elektrotīklu tarifus gadījumos, kad tiek izmantota AER saražotā elektroenerģija tiešo pirkšanas līgumu ietvarā.</w:t>
            </w:r>
            <w:r w:rsidR="00000000" w:rsidRPr="00000000" w:rsidDel="00000000">
              <w:rPr>
                <w:rtl w:val="0"/>
              </w:rPr>
              <w:t xml:space="preserve">", kā arī izvērtēt iespēju precizēt ierosināto rindkopas redakciju.  Pamatojot priekšlikumu, pievēršam uzmanību, ka elektroenerģijas piegādes darījumu juridiskajam raksturam (elektroenerģijas tirdzniecībai tieša piegādes līguma ietvaros, ar tirgotāja starpniecību, vai ar elektroenerģijas vairumtirdzniecības biržas starpniecību) nav identificējamas ietekmes uz faktiskajām operatoru izmaksām, tāpēc īpašu tarifu noteikšana lietotājiem, kas elektroenerģiju iepērk tiešu pārdošanas līgumu ietvaros, šobrīd nav pamatojama ar ekonomiskiem apsvērumiem, un tā var tikt arī vērtēta kā nepamatoti diskriminējoša pret lietotājiem, kuri elektroenerģiju realizē vai iepērk vairumtirgū vai ar tirgotāja starpniecību.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sadarbībā ar KEM izvērtēt un īstenot mehānismus ar mērķi veicināt elektroenerģijas tīkla pakalpojumu tarifu īpatnējo izmaksu samazinājumu energointensīvajiem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iekļauta KEM piedāvātā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2.4. sadaļā ir iekļauts mērķis "Līdz 2030. gadam panākt, ka AER (atbilstoši  Atjaunīgās enerģijas direktīvas (ES) 2023/2413 tvērumam) veido vismaz 78.1%  no rūpniecības enerģijas gala patēriņa". Taču 2.2. sadaļā, kurā ir iekļauts pašreizējais situācijas apraksts, nav iekļauta informācija par pašreizējo situāciju šī mērķa kontekstā un tendencēm situācijas attīsībā. 5. attēlā iekļautā informācija  par enerģijas galapatēriņu rūpniecībā 2023.gadā var radīt maldinošu iespaidu, jo tas nesniedz priekšstatu, kāds AER īpatsvars 2023.gadā bija rūpniecībā atbilstoši  Atjaunīgās enerģijas direktīvas (ES) 2023/2413 tvērumam (tas faktiski bija augstāks par 50%, jo jāiekļauj arī elektroenerģijas un siltumenerģijas AER īpatsvars, kā arī jāprecizē rūpniecībā ieskaitītie sektori).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papildu grafiku par AER īpatsvaru rūpniecībā atbilstoši Atjaunīgās enerģijas direktīvas (ES) 2023/2413 tvērumam (līdzīgi kā citos šīs sadaļas grafikos), lai neradītu maldinošu priekšstatu par vēl paveicamo AER īpatsvara palielināšanas apjomu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Atjaunīgās enerģijas direktīvas (ES) 2023/2413 tvērumu un metodoloģiju AER īpatsvaram rūpniecībā 2030.gadā jābūt 73,1%. IZ norādītie 78,1% ir plānotais īpatsvars sektorā saskaņā ar NEKP mērķa scenāriju. Faktiskās rādītāja vērtības 2021. gadā bija 58,5%, bet 2022. gadā 63,2%. (skatīt NEKP 2.1. sadaļas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mērķis norādot gan sasniedzamo rādītāju atbilstoši NEKP, gan arī KEM atzinumā norādīto, ka saskaņā ar Atjaunīgās enerģijas direktīvas (ES) 2023/2413 tvērumu un metodoloģiju AER īpatsvaram rūpniecībā 2030.gadā jābūt 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zīmējums ir CSP dati, tomēr zīmējumam pievienota piezīme no KEM atzinuma - AER īpatsvars 2023.gadā bija rūpniecībā atbilstoši  Atjaunīgās enerģijas direktīvas (ES) 2023/2413 tvērumam (tas faktiski bija augstāks par 50%, jo jāiekļauj arī elektroenerģijas un siltumenerģijas AER īpatsvars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informatīvā ziņojuma sadaļā "3.3. Latvijas tendences" (41.lpp. beigās) minēto informāciju par ūdeņraža izmantošanas iespēju koģenerācijas stacijās ar informāciju par to enerģētisko efektivitāti (ņemot vērā, ka koģenerācija ļauj samazināt enerģijas zaudējumus) un ekonomisko efektivitāti (ietaupījumi saistībā ar tīkla balansēšanu).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atbilstoši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ir minētas vairākas nozares, lūdzam informatīvā ziņojuma sadaļā "1.8. Rezultatīvie rādītāji" (16.lpp.) precizēt trešo rādītāju "Līdz 2030. gadam piesaistīto investīciju apjoms nozarē sasniedz vismaz 300 milj. euro", kurā nozarē piesaistīto investīciju apjomam jāsasniedz vismaz 300 milj. euro līdz 2030. gadam un kurš gads ir atskaites punkts šim rādītājam.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informatīvo ziņojumu (12. lpp. otrā rindkopa) ar informāciju par potenciālas "CO₂ krātuves Latvijā" ietekmi uz SEG emisijām. Vai "CO₂ krātuvēm" tiktu piemērots kāds noplūdes koeficients saistībā ar iespējamam noplūdēm gāzes sadales un pārvades sistēmās, kā arī gāzes krātuvē.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un KEM vienojās, ka detalizētāki uzdevumi oglekļa dioksīda uztveršanai, transportēšanai un noglabāšanai tiks iekļauti atsevišķā informatīvajā ziņojumā, ko virzīs KEM, līdz ar to FM izvirzītais jautājums būtu jāskata minētajā informatīvajā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“uztverta oglekļa dioksīda tālāku izmantošanas" ietekmi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un KEM vienojās, ka detalizētāki uzdevumi oglekļa dioksīda uztveršanai, transportēšanai un noglabāšanai tiks iekļauti atsevišķā informatīvajā ziņojumā, ko virzīs KEM, līdz ar to FM izvirzītais jautājums būtu jāskata minētajā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pārbaudīt informatīvā ziņojuma "3.2. ES tendences'' sadaļā pirmajā rindkopā (38.lpp.) minēto, ka tieša elektrifikācija nav iespējama, piemēram, [..] cementa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ir aprobēta elektrolīzes metode cementa ražošana*, kas nozīme, ka elektrifikācija ir iespējama cementa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teorētiski pastāv alternatīvas iespējas samazināt SEC emisijas cementa ražošanā, aicinām pārskatīt 11.lpp. priekšpēdējā rindkopā minēto informāciju: "[..] cementa ražotājam Schwenk , kura ražošana nākotnē var nebūt ekonomiski pamatota bez CO2 uztveršanas un uzglabāšanas risinājuma. [..] sākot ar 2040. gadu visām šādām rūpnīcām Eiropā saimnieciskā darbība, iespējams, būs jāpārtrauc, jo emisiju kvotas var nebūt pieejamas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https://news.mit.edu/2019/carbon-dioxide-emissions-free-cement-0916 (jaunāka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https://www.ipmi.org/news/electrochemical-process-transforms-cement-production)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uzskaitījums ar nozarēm, kur elektrifikācija nav iespējama, izslēgta, identifikācija jāveic tālākā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teorētiski pastāv alternatīvas iespējas samazināt SEG emisijas cementa ražošanā,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ziņojumā atsauces uz Eiropas Savienības tiesību aktiem (</w:t>
            </w:r>
            <w:r w:rsidR="00000000" w:rsidRPr="00000000" w:rsidDel="00000000">
              <w:rPr>
                <w:u w:val="single"/>
                <w:rtl w:val="0"/>
              </w:rPr>
              <w:t xml:space="preserve">sk. informatīvā ziņojuma 3.-4.lpp.</w:t>
            </w:r>
            <w:r w:rsidR="00000000" w:rsidRPr="00000000" w:rsidDel="00000000">
              <w:rPr>
                <w:rtl w:val="0"/>
              </w:rPr>
              <w:t xml:space="preserve">)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2024. gada 11. aprīļa Regula (ES) 2024/1252, ar ko izveido satvaru tam, kā nodrošināt drošu un ilgtspējīgu apgādi ar kritiski svarīgām izejvielām, un groza Regulas (ES) Nr. 168/2013, (ES) 2018/858, (ES) 2018/1724 un (ES) 2019/1020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ES tiesību aktiem ir noformētas atbilstoši- tās ir iekļautas saīsinājumu sarakstā un turpmāk tekstā ir lietoti saīsinājumi.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38.lpp. precizēt </w:t>
            </w:r>
            <w:r w:rsidR="00000000" w:rsidRPr="00000000" w:rsidDel="00000000">
              <w:rPr>
                <w:i w:val="1"/>
                <w:rtl w:val="0"/>
              </w:rPr>
              <w:t xml:space="preserve">Carbon Border Adjustment Mechanism</w:t>
            </w:r>
            <w:r w:rsidR="00000000" w:rsidRPr="00000000" w:rsidDel="00000000">
              <w:rPr>
                <w:rtl w:val="0"/>
              </w:rPr>
              <w:t xml:space="preserve"> tulkojumu latviski. Atbilstoši Eiropas Parlamenta un Padomes 2023.gada 10.maija Regulai 2023/956/ES, ar ko izveido oglekļa ievedkorekcijas mehānismu, vārdu "robežkorekcijas" ir nepieciešams aizstāt ar vārdu "ievedkorekcijas".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Tulkojums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informāciju, lūdzam veikt atsevišķus tehniskus/redakcionālus precizējumus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informatīvā ziņojuma  saīsinājumu sarakstu ar “ES fondi”, skaidrojot, kādas investīcijas vai fondi tiek saprasti ar šo apzīmējumu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informatīvā ziņojuma 1.6.sadaļas “Aktivitātes” apakšsadaļā 5.uzdevums “Uzlabot darbaspēka kvalifikāciju un prasmes” Eiropas Sociālā fonda Plus nosaukumu, ņemot vērā, ka ES fondu 2014.-2020.gada plānošanas periods ir noslēdzies un sākot ar ES Fondu 2021.-2027.gada plānošanas periodu fonda nosaukums ir mainīts uz “Eiropas Sociālais fonds Plus”, un tāds tas būs arī ES fondu 2028.-2034.gada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informatīvā ziņojuma 1.6.sadaļas “Aktivitātes” apakšsadaļā  Nr.3.3. “Latvijas tendences”  lietoto redakciju “no vairākiem EU resursu fondiem” labojot “EU” uz ziņojuma saīsinājumu sadaļā iekļauto saīsinājumu “ES”.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saīsinājumu saraksts un precizētas kļūdas.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informatīvā ziņojuma sadaļas “Ieviešana un tālākās rīcības” 3.punktā sniegto informāciju, norādot, ka finansējums informatīvajā ziņojumā paredzēto Latvijas ilgtspējīgas enerģijas tehnoloģiju attīstības rīcības virzienu un prioritāro pasākumu īstenošanai </w:t>
            </w:r>
            <w:r w:rsidR="00000000" w:rsidRPr="00000000" w:rsidDel="00000000">
              <w:rPr>
                <w:u w:val="single"/>
                <w:rtl w:val="0"/>
              </w:rPr>
              <w:t xml:space="preserve">netiks pieprasīts no valsts budžeta</w:t>
            </w:r>
            <w:r w:rsidR="00000000" w:rsidRPr="00000000" w:rsidDel="00000000">
              <w:rPr>
                <w:rtl w:val="0"/>
              </w:rPr>
              <w:t xml:space="preserve">, bet tiks vērtētas iespējas tos īstenot ES fondu un tam paredzētā nacionālā līdzfinansējuma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 (LSUA) atzinīgi vērtē Ekonomikas ministrijas sagatavoto informatīvo ziņojumu “Latvijas ilgtspējīgas enerģijas tehnoloģiju attīstības ietvars līdz 2035.gadam” kā nozīmīgu soli virzībā uz klimatneitrālu un tehnoloģiski attīstītu Latvijas enerģētikas sektoru. Izvērtējot ziņojumu, vēršam uzmanību par sekojošiem riskiem un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netiktu apdraudēti centralizētās siltumapgādes (CSA) nozares uzņēmumu dekarbonizācijas plāni, būtiski ir līdz 2027.gadam pieņemt lēmumus par CO</w:t>
            </w:r>
            <w:r w:rsidR="00000000" w:rsidRPr="00000000" w:rsidDel="00000000">
              <w:rPr>
                <w:vertAlign w:val="subscript"/>
                <w:rtl w:val="0"/>
              </w:rPr>
              <w:t xml:space="preserve">2</w:t>
            </w:r>
            <w:r w:rsidR="00000000" w:rsidRPr="00000000" w:rsidDel="00000000">
              <w:rPr>
                <w:rtl w:val="0"/>
              </w:rPr>
              <w:t xml:space="preserve"> uztveršanas, transportēšanas un uzglabāšanas (CCS)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CCS tehnoloģiju izmaksas un iespējamie tarifu kāpumi patērētājiem ir jāvērtē līdzsvaroti – nepieciešams paredzēt kompensējošus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Nozīmīga ir skaidra  komunikācija un atbalsts no valsts puses sabiedrības bažu mazināšanai par CCS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atbalsta ziņojuma virzību, tomēr arī uzsveram, ka nedrīkst kavēties ar infrastruktūras izbūvi, ir nepieciešams ieviest praktisku atbalsta mehānismu un nodrošināt publiskā un privātā sektora sadarbību , lai nodrošinātu klimatneitralitātes mērķu sasniegšanu  līdz 2035.gadam.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īsti neprasa mainīt informatīvā ziņojuma tekstu. Ekonomikas ministrija ir gatava atsevišķi pārrunāt ar LSUA izteiktās bažas, jo šobrīd mūsu rīcībā nav informācijas, ka siltumapgādes uzņēmumiem klimata mērķu sasniegšanai būtu nepieciešams īstenot oglekļa dioksīda uztveršanu un noglabāšanu. Ja šādi plāni tomēr ir, tas tiks ņemts vērā veidojot kopējo oglekļa dioksīda uztveršanas, transportēšanas un noglabāšanas sistēmu. Bioenerģija ar oglekļa dioksīda uztveršanu un noglabāšanu varētu būtiski palīdzēt ieviest valsts nacionālos klimata mērķus, bet tādā gadījumā šīs izmaksas nevajadzētu uzlikt siltumenerģijas patērētājiem.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ir izskatījusi informatīvo ziņojumu "Latvijas ilgtspējīgas enerģijas tehnoloģiju attīstības ietvars līdz 2035. gadam" un atbalsta tajā ietvertos mērķus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ziņojuma kontekstā jāuzsver, ka līdz ar ES virzību uz plašāku tautsaimniecības elektrifikāciju, arvien lielāka nozīme būs infrastruktūras spējai nodrošināt stabilu un drošu elektroapgādi. Savukārt infrastruktūras pastiprināšanai ES līmenī būs nepieciešams lielāks piedāvājums ar precēm un iekārtām, kas nepieciešamas tīkla izvēršanai un viedai vadībai. Jau šobrīd sistēmas operatoriem veicot investīcijas tīklā ir jārēķinās ar arvien pieaugošiem ražošanas termiņiem un iekārtu sadārdzinājumiem, kas ir saistīts gan ar augstu tirgus pieprasījumu pēc jaunām elektrotīkla iekārtām, gan arī ES izvirzītajām augstajām energoefektivitātes un vides prasībām, kas būtiski ierobežo elektrotīkla iekārtu un materiālu piedāvājumu. Piemēram, šādi apstākļi jau pašlaik ietekmē elektrotīkla transformatoru un slēgiekārtu pieejamību, piegādes termiņus un cenu. Situācija var kļūt vēl izaicinošāka, ja ES līmenī tiks lemts par nepieciešamību piegāžu ķēžu drošuma stiprināšanai vairāk izvēlēties ES ražojumus. Šāda tendence īstermiņā var palielināt izaicinājumus tīkla attīstībai, vienlaikus dodot papildus stimulu attīstīt vietējo ražošanu, lai nodrošinātu kritiskās infrastruktūras elementu piegāžu nepārtrauktību.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pastāvošais un paredzamais papildus pieprasījuma pieaugums ES elektrotīkla iekārtu un materiālu ražotājiem var būt iespēja, kas var veicināt ilgtspējīgas ražošanas attīstību Latvijā. Latvijai būtu jāizmanto iespēja attīstīt elektrotīkla iekārtu un materiālu ražošanas sektoru. Turklāt vietēja elektrotīklam nepieciešamu komponenšu ražošana celtu tīkla darbības drošumu ilgtermiņā. Jau šobrīd Latvijā notiek dažādu tīkla darbībai nepieciešamu iekārtu un komponenšu ražošana, tomēr joprojām dažādu sarežģītāku iekārtu ražošana notiek tikai citās valstīs, tai skaitā ārpus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1.sadaļu ar augstāk minētā skaidrojuma būtību, ka investīcijām elektroenerģijas tīklā būs nepieciešams lielāks apjoms modernu elektrotīkla iekārtu un materiālu, kas ražoti ES. Ziņojumā būtu paužams atbalsts tam, ka būtu veicināma un atbalstāma elektrotīkla iekārtu un materiālu ražošana jaudu palielināšana Latvijā, inovācijas jaunu produktu izstrādei un ražošanas attīstībai, jo pieprasījums pēc kvalitatīviem elektrotīkla materiāliem un iekārtām nākotnē pieaugs.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tiek vērtēta ne tikai ilgtspējīgas enerģijas tehnoloģiju attīstības, bet arī rūpniecības sektora zaļināšanas risinājumu, rosinām precizēt informatīvā ziņojuma virsrakstu, lai tas pilnībā atspoguļotu tā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 tomēr uzskatām, ka nosaukumam jābūt iespējami īsam. Rūpniecības sektora zaļināšanas pasākumi arī lielā mērā balstās uz ilgtspējīgas enerģijas tehnoloģijām.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3.2. sadaļu "Eiropas Savienības tendences" ar informāciju par tiesību aktiem, kas indicē Eiropas Savienības plānoto attīstību transporta enerģijas ziņā, piemēram, Eiropas Parlamenta un Padomes 2023. gada 13. septembra regulu (ES) 2023/1804 par alternatīvo degvielu infrastruktūras ieviešanu un ar ko atceļ Direktīvu 2014/94/ES, lai atspoguļotu faktu, ka pēc Eiropas Savienības ieskatiem ūdeņradis nav pielietojams tikai sektoros, ko citādi ir grūti elektrificēt - tas uzskatāms par pilnvērtīgu degvielas paveidu visā transporta nozarē, uzsverot arī nepieciešamību izvairīties no paļaušanās tikai uz vienu alternatīvās enerģijas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Regulu (ES) 2023/1804 par alternatīvo degvielu infrastruktūras ieviešanu, ūdeņradis tiek pozicionēts kā pilnvērtīgs alternatīvās degvielas veids visā transporta nozarē, ne tikai sektoros, kur elektrifikācija ir sarežģīta, uzsverot nepieciešamību diversificēt enerģijas avotus un izvairīties no atkarības no viena degvielas veida. Šī regula, kas atceļ Direktīvu 2014/94/ES, akcentē ūdeņraža infrastruktūras attīstību, tostarp uzpildes staciju izveidi, lai atbalstītu tā plašāku izmantošanu vieglajos, smagajos transportlīdzekļos un kuģniecībā. Papildus tam ES politika, tostarp REPowerEU plāns un Eiropas Zaļais kurss, veicina zaļā ūdeņraža ražošanu, izmantojot atjaunojamo enerģiju, un paredz investīcijas 1,5 miljardu eiro apmērā līdz 2030. gadam ūdeņraža infrastruktūras un tehnoloģiju attīstībai, kā arī oglekļa nodokļu un Oglekļa robežkorekcijas mehānismu (angliski Carbon Border Adjustment Mechanism) ieviešanu, lai padarītu ūdeņradi konkurētspējīgu ar fosilajām degvielām, tādējādi veicinot dekarbonizāciju un ilgtspējīgu mobilitāti.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3.7. sadaļu "Aktivitātes", norādot, ka lielāka mēroga projektu ar augstu pievienoto vērtību īstenošanai ir nepieciešams noteikt vienu virsatbildīgo ministriju vai iestādi, kas koordinētu projekta ieviešanas procesu, sniegtu mērķtiecīgu atbalstu investoriem un mazinātu birokrātiskos šķēršļus. Lai arī atbalstām Ekonomikas ministrijas iniciatīvu izveidot starpinstitūciju darba grupu, uzskatām, ka atbildības sadalījums starp vairākām institūcijām nenodrošinās būtisku birokrātijas samazinājumu investoriem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finansiālā atbalsta instrumentiem investoriem, pašreizējā pieeja lielā mērā balstās uz Eiropas Savienības fondu pieejamību, taču trūkst koordinētas un pārskatāmas “ceļa kartes” šo līdzekļu praktiskai izmantošanai. Līdz ar to efektīva “vienas pieturas aģentūras” pieeja veicinātu Latvijai nozīmīgu projektu īstenošanu. Norādām, ka attiecībā uz ilgtspējīgas aviācijas degvielas (SAF) ražošanu Latvijā jau ir identificēti divi potenciāli projekti, kas būtu būtisks ieguldījums Latvijas enerģētiskās neatkarības stiprināšanā un sniegtu nozīmīgu pienesumu tautsaimniecībai. Šādu projektu īstenošanai ir nepieciešams nodrošināt koordinētu un mērķtiecīgu sadarbību un komunikāciju starp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informatīvā ziņojuma rindkopu par investīciju piesaisti ar priekšlikumiem investoru atbalstam projekta sākumposmā, ņemot vērā, ka nozīmīgi investīciju projekti, īpaši saistībā ar sektoru dekarbonizāciju, prasa būtiskus sākotnējos ieguldījumus un ir saistīti ar salīdzinoši ilgu atmaksāšanās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informatīvā ziņojuma rindkopu "Attīstīt normatīvo un regulatīvo ietvaru". Attiecībā uz ūdeņraža izmantošanu, pastāv iespēja šādas iniciatīvas uzsākt jau tuvākajā laikā, ņemot vērā, ka ir pieejami vairāki pētījumi un scenāriji, kuros jau identificētas nepieciešamās izmaiņas tiesiskajā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tajā skaitā izslēdzot stapministriju darba grupu. Gadījumā, ja SM rīcībā ir detalizētāki priekšlikumi normatīvā ietvara uzlabošanai, lūdzam tos iesniegt atkārtotas saskaņošanas procesā. Tāpat arī šis informatīvais ziņojums nemaina citus MK uzdevumus, kādi ir SM attiecībā par ilgtspējīgām aviācijas degvielām.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izvērtēt iespēju precizēt ziņojuma 27. lappusē iekļautās  nodaļas "2.3. Riski" sekojošo teikumu: "Nesaskaņota vai nepietiekami elastīga valsts politika (piemēram, balansēšanas izmaksu sadale, tīkla tarifu šķērssubsīdijas) var radīt nevienlīdzīgus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apstākļus un bremzēt investīcijas AER un energoefektivitātē." Saistībā ar identificēto risku, pievēršam uzmanību, ka Latvijas normatīvais regulējums nosaka ierobežojumu šķērsubsīdiju piemērošanai elektroenerģijas nozare, un arī faktiskā elektroenerģijas tarifu struktūras analīze norāda uz to, ka pieņēmums par iespējamajām šķērsubsīdijām tarifos starp dažādām tīkla lietotāju grupām nekādā veidā neapstiprinās attiecībā uz tarifiem patēriņam, un ir nepietiekami pamatots attiecībā uz sadalījumu starp tarifiem elektroenerģijas ražotājiem un elektroenerģijas patērētājiem.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 minētā teikuma redakcijā apsvērt iespēju veikt sekojošus precizējumus: "Nesaskaņota vai nepietiekami elastīga valsts politika (piemēram, politika kura neveicina intensīvu un saimnieciski pamatotu tīkla pieslēguma izmantojumu, un nespēja pietiekami strauji reaģēt uz strukturālām pārmaiņām elektroenerģijas tirgū un veikt nepieciešamas korekcijas tarifu vai iekasēto maksu apjomā) var radīt nevienlīdzīgus konkurences apstākļus un bremzēt investīcijas AER un energoefektivitātē."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 piemēram, balansēšanas izmaksu sadale, tīkla tarifu šķērssubsīdijas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izvērtēt iespēju precizēt ziņojuma 27. lappusē iekļautās  nodaļas "2.3.Riski" sekojošo teikumu: "Esošā nodokļu un tarifu politika (piemēram, elektroenerģijas nodoklis un tīkla tarifu struktūra) var kavēt elektrifikāciju un konkurētspēju salīdzinājumā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reģioniem ārpus ES, piemēram, ASV, kur elektroenerģijas cenas ir zemākas." Saistībā ar identificēto risku, pievēršam uzmanību, ka elektroenerģijas nodokļa apjoms un likme ir vērtējama kā ļoti zema, un lielākajā daļā veido mazāk, nekā 1% no elektroenerģijas gala rēķina, tāpēc uzskatām, ka pieņēmums par elektroenerģijas nodokļa ietekmi uz elektroenerģijas izmaksu konkurētspēju ir nepietiekami pamatots un var tikt vērtēt kā pretrunā esošos ar faktisko elektroenerģijas izmaksu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Latvijā vērojamo elektroenerģijas sistēmas tarifu strukūru, uzsveram, ka gan pārvades, gan sadales tarifu strukūra kopumā ir patēriņu veicinoša, proti, pateicoties izmaksas atspoguļojošai fiksētajai komponentei, palielinot elektroenerģijas patēriņu vienas enerģijas vienības izmaksas lietotājiem samazinās. Vienlaikus jāpievērš uzmanība, ka esošā tarifu struktūra var būt nelabvēlīgāka lietotājiem, kuriem saimnieciskajā darbībā ir nepieciešamas lielas elektroenerģijas pieslēguma jaudas, bet kuru pielietojums ir nevienmērīgs vai izteikti mainīgs, un ir saistīts ar mazu enerģijas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atteikties no identificētā riska, kas skar elektroenerģijas nodokļa piemērošanu, un apsvērt iespēju precizēt identificētā riska aprakstu saistībā ar tīkla pakalpojumu struktūru, pievēršot uzmanību tam, ka esošā tarifu struktūra var samazināt ekonomisko konkurētspēju tam elektroenerģijas lietotāju un ražotāju lokam, kuri elektroenerģijas pieslēguma jaudas izmanto neregulāri un ar zemu noslodzi.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 piemēram, balansēšanas izmaksu sadale, tīkla tarifu šķērssubsīdijas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atlikumsiltums netiek klasificēts ka AER, taču ja tas nāk no CSA, tad to var ieskaitīt rūpniecības AER apakšmērķī. Pie tam, tad AER mērķi rūpniecībā palielina par pusi no ieskaitītā atlikumsiltuma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Atlikumsiltuma jautājumi pārcelti no AER citās sadaļās.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atjaunīgās enerģijas mērķis rūpniecībai, kas izriet no Atjaunīgās enerģijas direktīvas (ES) 2023/2413,  attiecas gan uz rūpniecībā enerģijas patēriņam izmantotajiem resursiem, gan uz energoresursiem, kas rūpniecībā tiek izmantoti neenerģētiskām vajadzībām. Tāpat direktīvas kontekstā rūpniecībā tiek ieskaitīts arī IKT sektors, kas nav ieskaitīts rūpniecības statistikā Eurostat. Tāpēc IZ apkopotā statistika par AER īpatsvaru rūpniecībā nav atbilstoša šī mērķa tvērumam un rada maldinošu iespaidu.Lūdzam izvērtēt iespēju precizēt datus, vai arī ielikt atrunu, ka iekļautie dati neatspoguļo virzību uz šo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iekļauts attiecīgs paskaidrojums kā zemsvītras piezīme.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5.lpp. politikas plānošanas dokumentu uzskaitījumu ar NEKP.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daudz redakcionālu neprecizitāšu. Tehniskos komentētārus ziņojuma sagatavotājam nosūtīsim ārpus TAP. Lūdzam ņemt vērā šos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KEM atsevišķi iesniegtie priekšlikumi izvērtēti un pamatā ņemti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Izglītot sabiedrību un veicināt akceptu: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Izglītot sabiedrību un veicināt </w:t>
            </w:r>
            <w:r w:rsidR="00000000" w:rsidRPr="00000000" w:rsidDel="00000000">
              <w:rPr>
                <w:b w:val="1"/>
                <w:rtl w:val="0"/>
              </w:rPr>
              <w:t xml:space="preserve">pieņemšanu / akceptēšanu: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Izglītot sabiedrību un veicināt politikas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Attēls. Enerģijas gala patēriņš rūpniecībā. (Eurostat 2023. gada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Sektoru diagrammā nav norādīts ko apzīmē dzeltenais sektors.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Zīmējums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atbalstu pētniecības organizācijām neto nulles emisiju tehnoloģiju attīstībai, piemēram, izmantojot valsts pētījumu programmas, fundamentālo un lietišķo pētījumu programmas, kā arī atbalstot pētniecības organizāciju, jaunuzņēmumu un komercuzņēmumu dalību ES un starptautiskajos projektos, piemēram, pilnīgi vai daļēji kompensējot ES fondu projektu pieteikuma rakstīšanas izmaksas, tādējādi audzējot zinātnisko un pētniecības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atbalstu pētniecības organizācijām neto nulles emisiju tehnoloģiju attīstībai, piemēram, izmantojot valsts pētījumu programmas, fundamentālo un lietišķo pētījumu programmas, kā arī atbalstot pētniecības organizāciju, jaunuzņēmumu un komercuzņēmumu dalību ES un starptautiskajos projektos, piemēram, pilnīgi vai daļēji kompensējot ES fondu projektu pieteikuma rakstīšanas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Redakcija nomainīta.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lpp. Potenciālās uzglabāšanas prasa detalizētus pētījumus, ietekmes uz vidi novērtējumu un finansiāli ietilpīgas riska investīcijas  sākotnējā ģeoloģiskajā izpētē. Ja tās izrādās nepiemērotas vai nedrošas, projekti var kļūt neīstenojami vai dārgāki.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Potenciālās uzglabāšanas prasa detalizētus pētījumus, ietekmes uz vidi novērtējumu un finansiāli ietilpīgas investīcijas  sākotnējā ģeoloģiskajā izpētē. Ja tās izrādās nepiemērotas vai nedrošas, projekti var kļūt neīstenojami vai dārgāki.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uz ekonomiski pamatotiem un no vides aspektiem pieļaujamiem risinājumiem.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1.3.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Kvalificēta darbaspēka trūkums var palēnināt inovāciju un ražošanas attīstību. Izglītības sistēmai būs jāpielāgojas, lai apmācītu speciālistus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Kvalificēta darbaspēka trūkums var palēnināt inovāciju un ražošanas attīstību. Lai apmācītu kvalificētus speciālistus izglītības sistēmai būs jāpielāgojas.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2. rindkopa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NACO Technologies[1], kuri attīsta un piedavā tirgū nano pārklājumu uzklāšanas iekārtas ūdeņraža tehnoloģiju (elektrolīze un degvielas šunas) ražošanai būtiskajām biopolārajām platēm.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NACO Technologies[1], kuri attīsta un piedavā tirgū nano pārklājumu uzklāšanas iekārtas ūdeņraža tehnoloģiju (elektrolīze un degvielas </w:t>
            </w:r>
            <w:r w:rsidR="00000000" w:rsidRPr="00000000" w:rsidDel="00000000">
              <w:rPr>
                <w:b w:val="1"/>
                <w:rtl w:val="0"/>
              </w:rPr>
              <w:t xml:space="preserve">šūnas)</w:t>
            </w:r>
            <w:r w:rsidR="00000000" w:rsidRPr="00000000" w:rsidDel="00000000">
              <w:rPr>
                <w:rtl w:val="0"/>
              </w:rPr>
              <w:t xml:space="preserve"> ražošanai būtiskajām biopolārajām platēm.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izlabota.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1.1.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norāda, ka energoefektivitātes progress ir pozitīvs, taču nepietiekams, un aicina uz straujāku inovāciju ieviešanu, lai dekarbonizētu smago rūpniecību. IEA arī uzsver, ka energoefektivitātes uzlabošana ir īpaši svarīga, lai padarītu elektrifikāciju ekonomiski dzīvotspējīgu.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1.1.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norāda, ka energoefektivitātes progress ir pozitīvs, taču nepietiekams, un aicina uz straujāku inovāciju ieviešanu </w:t>
            </w:r>
            <w:r w:rsidR="00000000" w:rsidRPr="00000000" w:rsidDel="00000000">
              <w:rPr>
                <w:b w:val="1"/>
                <w:rtl w:val="0"/>
              </w:rPr>
              <w:t xml:space="preserve">smagās rūpniecības dekarbonizācijai.</w:t>
            </w:r>
            <w:r w:rsidR="00000000" w:rsidRPr="00000000" w:rsidDel="00000000">
              <w:rPr>
                <w:rtl w:val="0"/>
              </w:rPr>
              <w:t xml:space="preserve"> IEA arī uzsver, ka energoefektivitātes uzlabošana ir īpaši svarīga, lai padarītu elektrifikāciju ekonomiski dzīvotspējīgu.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Ievads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nulles emisiju industrijas akta mērķis ir uzlabot  Eiropas neto nulles emisiju tehnoloģiju un to galveno komponenšu izgatavošanas  jaudu, novēršot šķēršļus ražošanas paplašināšanai Eiropā. Regula palielinās neto nulles emisiju tehnoloģiju nozares konkurētspēju, piesaistīs investīcijas un uzlabos tīro tehnoloģiju piekļuvi tirgum ES, vienlaikus atbalstot pāreju uz tīru enerģiju un uzlabojot ES enerģētisko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nulles emisiju industrijas akta mērķis ir </w:t>
            </w:r>
            <w:r w:rsidR="00000000" w:rsidRPr="00000000" w:rsidDel="00000000">
              <w:rPr>
                <w:b w:val="1"/>
                <w:rtl w:val="0"/>
              </w:rPr>
              <w:t xml:space="preserve">stiprināt</w:t>
            </w:r>
            <w:r w:rsidR="00000000" w:rsidRPr="00000000" w:rsidDel="00000000">
              <w:rPr>
                <w:rtl w:val="0"/>
              </w:rPr>
              <w:t xml:space="preserve"> Eiropas neto nulles emisiju tehnoloģiju un to galveno komponenšu </w:t>
            </w:r>
            <w:r w:rsidR="00000000" w:rsidRPr="00000000" w:rsidDel="00000000">
              <w:rPr>
                <w:b w:val="1"/>
                <w:rtl w:val="0"/>
              </w:rPr>
              <w:t xml:space="preserve">ražošanas</w:t>
            </w:r>
            <w:r w:rsidR="00000000" w:rsidRPr="00000000" w:rsidDel="00000000">
              <w:rPr>
                <w:rtl w:val="0"/>
              </w:rPr>
              <w:t xml:space="preserve"> jaudu, novēršot šķēršļus ražošanas paplašināšanai Eiropā. Regula palielinās neto nulles emisiju tehnoloģiju nozares konkurētspēju, piesaistīs investīcijas un uzlabos tīro tehnoloģiju piekļuvi tirgum ES, vienlaikus atbalstot pāreju uz tīru enerģiju un uzlabojot ES enerģētisko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informatīvajā ziņojuma sniegto informāciju par nepieciešamību piesaistīt ES fondu un privātā sektora finansējumu, aicinām attiecīgi papildināt informatīvā ziņojuma sadaļu “Ieviešana un tālākās rīcības” ar informāciju par nepieciešamo/plānoto tālāko rīcību attiecībā uz finansējuma piesaisti ziņojumā minētajiem mērķiem, norādot, ka finansējums ziņojumā paredzēto Latvijas ilgtspējīgas enerģijas tehnoloģiju attīstības rīcības virzienu un prioritāro pasākumu īstenošanai netiks pieprasīts no valsts budžeta, bet tiks vērtētas iespējas tos īstenot ES fondu un tam paredzētā nacionālā līdzfinansējuma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Kohēzijas politikas (turpmāk – KP) fondiem, vēršam uzmanību, ka bez atsevišķiem šobrīd jau plānotajiem pasākumiem,  kas minēti informatīvajā ziņojumā, šobrīd ES fondu finansējums nav garantējams esošās KP fondu programmas 2021.-2027. gadam ietvaros, tāpat nav garantējams konkrēts finansējums apjoms vai sadalījums nākamā plānošanas perioda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14. un 49.lpp. lietotos jēdzienus "</w:t>
            </w:r>
            <w:r w:rsidR="00000000" w:rsidRPr="00000000" w:rsidDel="00000000">
              <w:rPr>
                <w:i w:val="1"/>
                <w:rtl w:val="0"/>
              </w:rPr>
              <w:t xml:space="preserve">publiskā vai privātās publiskās partnerības iepirkumam</w:t>
            </w:r>
            <w:r w:rsidR="00000000" w:rsidRPr="00000000" w:rsidDel="00000000">
              <w:rPr>
                <w:rtl w:val="0"/>
              </w:rPr>
              <w:t xml:space="preserve">" un "</w:t>
            </w:r>
            <w:r w:rsidR="00000000" w:rsidRPr="00000000" w:rsidDel="00000000">
              <w:rPr>
                <w:i w:val="1"/>
                <w:rtl w:val="0"/>
              </w:rPr>
              <w:t xml:space="preserve">publiskā un privātā-publiskā iepirkum</w:t>
            </w:r>
            <w:r w:rsidR="00000000" w:rsidRPr="00000000" w:rsidDel="00000000">
              <w:rPr>
                <w:rtl w:val="0"/>
              </w:rPr>
              <w:t xml:space="preserve">a". Šobrīd nav skaidrs, kas ar tiem tiek apzīmēts - privātais iepirkums (ko veic privātpersonas), publiskais iepirkums (ko veic publiskie pasūtītāji) un/vai publiskā un privātā partnerība (kas ir atsevišķi regulēta procedūra un ko veic publiskie pasūtītāji).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saglabāts termins pibliskais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informatīvā ziņojuma nodaļas “Ieviešana un tālākās rīcības” 2. punktā precizēt termiņu, kas attiektos uz “regulāru” Nacionālās enerģētikas un klimata padomes Rūpniecības darba grupas informēšanu par progresu, kas veikts darba grupas ilgtspējīgu tehnoloģiju attīstības projektu atbalstam ietvaros. Papildus aicinām informatīvā ziņojuma nodaļas “Ieviešana un tālākās rīcības” 2. punktu ievietot Ministru kabineta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informatīvā ziņojuma projektu, atrunājot saīsinājumus un tos konsekventi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2024. gada 11. aprīļa Regula (ES) 2024/1252, ar ko izveido satvaru tam, kā nodrošināt drošu un ilgtspējīgu apgādi ar kritiski svarīgām izejvielām, un groza Regulas (ES) Nr. 168/2013, (ES) 2018/858, (ES) 2018/1724 un (ES) 2019/1020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cik regulāri Ekonomikas ministrija informēs par progresu Nacionālās enerģētikas un klimata padomes Rūpniecības darba grupu (informatīvā ziņojuma 52.lpp.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Inormatīvais ziņojums precizēts. ka ne retāk kā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31.lpp. tekstu "</w:t>
            </w:r>
            <w:r w:rsidR="00000000" w:rsidRPr="00000000" w:rsidDel="00000000">
              <w:rPr>
                <w:i w:val="1"/>
                <w:rtl w:val="0"/>
              </w:rPr>
              <w:t xml:space="preserve">Investīcijas: Energoefektivitātes un AER projektos i</w:t>
            </w:r>
            <w:r w:rsidR="00000000" w:rsidRPr="00000000" w:rsidDel="00000000">
              <w:rPr>
                <w:i w:val="1"/>
                <w:u w:val="single"/>
                <w:rtl w:val="0"/>
              </w:rPr>
              <w:t xml:space="preserve">nvestēto līdzekļu apjoms sasniedz vismaz 500 miljonus euro līdz 2030. gadam</w:t>
            </w:r>
            <w:r w:rsidR="00000000" w:rsidRPr="00000000" w:rsidDel="00000000">
              <w:rPr>
                <w:i w:val="1"/>
                <w:rtl w:val="0"/>
              </w:rPr>
              <w:t xml:space="preserve">.</w:t>
            </w:r>
            <w:r w:rsidR="00000000" w:rsidRPr="00000000" w:rsidDel="00000000">
              <w:rPr>
                <w:rtl w:val="0"/>
              </w:rPr>
              <w:t xml:space="preserve">". Šobrīd nav skaidrs vai ir plānots sasniegt  500 miljonu </w:t>
            </w:r>
            <w:r w:rsidR="00000000" w:rsidRPr="00000000" w:rsidDel="00000000">
              <w:rPr>
                <w:i w:val="1"/>
                <w:rtl w:val="0"/>
              </w:rPr>
              <w:t xml:space="preserve">euro</w:t>
            </w:r>
            <w:r w:rsidR="00000000" w:rsidRPr="00000000" w:rsidDel="00000000">
              <w:rPr>
                <w:rtl w:val="0"/>
              </w:rPr>
              <w:t xml:space="preserve"> gadā līdz 2030.gadam, vai arī plānots sasniegt kumulatīvo investīciju apjomu 500 miljoni</w:t>
            </w:r>
            <w:r w:rsidR="00000000" w:rsidRPr="00000000" w:rsidDel="00000000">
              <w:rPr>
                <w:i w:val="1"/>
                <w:rtl w:val="0"/>
              </w:rPr>
              <w:t xml:space="preserve"> euro </w:t>
            </w:r>
            <w:r w:rsidR="00000000" w:rsidRPr="00000000" w:rsidDel="00000000">
              <w:rPr>
                <w:rtl w:val="0"/>
              </w:rPr>
              <w:t xml:space="preserve">laika periodā no X.gada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14.lpp. pie Mērķis 2 ir norādīts "</w:t>
            </w:r>
            <w:r w:rsidR="00000000" w:rsidRPr="00000000" w:rsidDel="00000000">
              <w:rPr>
                <w:i w:val="1"/>
                <w:rtl w:val="0"/>
              </w:rPr>
              <w:t xml:space="preserve">Izveidot CCS infrastruktūru,</w:t>
            </w:r>
            <w:r w:rsidR="00000000" w:rsidRPr="00000000" w:rsidDel="00000000">
              <w:rPr>
                <w:i w:val="1"/>
                <w:u w:val="single"/>
                <w:rtl w:val="0"/>
              </w:rPr>
              <w:t xml:space="preserve"> līdz 2027. gadam pieņemt lēmumu</w:t>
            </w:r>
            <w:r w:rsidR="00000000" w:rsidRPr="00000000" w:rsidDel="00000000">
              <w:rPr>
                <w:i w:val="1"/>
                <w:rtl w:val="0"/>
              </w:rPr>
              <w:t xml:space="preserve"> par CO₂ transportēšanas un uzglabāšanas risinājumu, lai uzsāktu darbību 2032.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18.lpp. ir norādīts "</w:t>
            </w:r>
            <w:r w:rsidR="00000000" w:rsidRPr="00000000" w:rsidDel="00000000">
              <w:rPr>
                <w:i w:val="1"/>
                <w:u w:val="single"/>
                <w:rtl w:val="0"/>
              </w:rPr>
              <w:t xml:space="preserve">Infrastruktūras izveide līdz 2027. gadam</w:t>
            </w:r>
            <w:r w:rsidR="00000000" w:rsidRPr="00000000" w:rsidDel="00000000">
              <w:rPr>
                <w:i w:val="1"/>
                <w:rtl w:val="0"/>
              </w:rPr>
              <w:t xml:space="preserve">, īpaši attiecībā uz CO₂ transportēšanas un noglabāšanas sistēmām, ir kritiska, lai izpildītu 2030. gada mērķus un novērstu kavēšanos rūpniecības dekarbonizācijā.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nav nepieciešami precizējumi informatīvā ziņojuma tekstā, jo vienā teikumā paredz tikai lēmuma pieņemšanu par infrastruktūras izbūvi līdz 2027.gadam, bet otrā teikumā jau paredz, ka infrastruktūra 2027.gadā jau būs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teksti saskaņoti līdz 2027. lēmumu pieņemšana par infrastruktūras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informatīvā ziņojuma 15.lpp. norādītā informācija ir korekta, jo tiek prognozēts, ka p</w:t>
            </w:r>
            <w:r w:rsidR="00000000" w:rsidRPr="00000000" w:rsidDel="00000000">
              <w:rPr>
                <w:u w:val="single"/>
                <w:rtl w:val="0"/>
              </w:rPr>
              <w:t xml:space="preserve">lānotās darbības veicinās iedzīvotāju skaita samazināšanos,</w:t>
            </w:r>
            <w:r w:rsidR="00000000" w:rsidRPr="00000000" w:rsidDel="00000000">
              <w:rPr>
                <w:rtl w:val="0"/>
              </w:rPr>
              <w:t xml:space="preserve"> kas nešķiet loģiski: "</w:t>
            </w:r>
            <w:r w:rsidR="00000000" w:rsidRPr="00000000" w:rsidDel="00000000">
              <w:rPr>
                <w:i w:val="1"/>
                <w:rtl w:val="0"/>
              </w:rPr>
              <w:t xml:space="preserve">Veicināt reģionālo inovāciju atbalsta programmu un centru attīstību un specializāciju kādā no neto nulles emisiju tehnoloģiju attīstības jomām, izejot no vietējām kompetencēm (izglītības un pētniecības iestādes, rūpniecības uzņēmumi, akseleratori, utt.) un resursu potenciāla, piemēram, Latgalē vai Zemgalē bioekenomikas (biodegvielu) jomā, Kurzemē vēja enerģijas un ūdeņraža tehnoloģiju jomā, </w:t>
            </w:r>
            <w:r w:rsidR="00000000" w:rsidRPr="00000000" w:rsidDel="00000000">
              <w:rPr>
                <w:i w:val="1"/>
                <w:u w:val="single"/>
                <w:rtl w:val="0"/>
              </w:rPr>
              <w:t xml:space="preserve">lai tādējādi veicinātu iedzīvotāju skaita </w:t>
            </w:r>
            <w:r w:rsidR="00000000" w:rsidRPr="00000000" w:rsidDel="00000000">
              <w:rPr>
                <w:b w:val="1"/>
                <w:i w:val="1"/>
                <w:u w:val="single"/>
                <w:rtl w:val="0"/>
              </w:rPr>
              <w:t xml:space="preserve">samazināšanos</w:t>
            </w:r>
            <w:r w:rsidR="00000000" w:rsidRPr="00000000" w:rsidDel="00000000">
              <w:rPr>
                <w:i w:val="1"/>
                <w:u w:val="single"/>
                <w:rtl w:val="0"/>
              </w:rPr>
              <w:t xml:space="preserve"> reģionos</w:t>
            </w:r>
            <w:r w:rsidR="00000000" w:rsidRPr="00000000" w:rsidDel="00000000">
              <w:rPr>
                <w:i w:val="1"/>
                <w:rtl w:val="0"/>
              </w:rPr>
              <w:t xml:space="preserve"> un radītu jaunu tautsaimniecības sektoru attīstību un līdz ar to ienākumu bāzes pieaugumu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bija kļūdains un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 uzdevuma aktualitāti, ņemot vērā, ka "zaļās prasmes" jau ir integrētas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Padomes 2018. gada 22. maija ieteikumu par pamatkompetencēm mūžizglītībā, zaļās kompetences ir iekļautas profesionālās izglītības saturā kā atsevišķs mācību modulis “Zaļās prasmes”. Kopš 2020. gada šis saturs ir obligāts profesionālajā vidējā izglītībā un profesionālās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uzdevuma pirmais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lietoto terminoloģiju, ievērojot izglītības un zinātnes nozares atbilstošos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tekstā aizstāt vārdu "apmācības" ar "mācības" vai jēdzienu "izglītība", atkarībā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 tekstā aizstāt vārdus "mācību programmas" / "apmācību programmas" ar jēdzienu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 lappusē vārdus "augstākām mācību iestādēm, pētniecības institūtiem" aizstāt ar "augstākās izglītības iestādes" un "zinātniskās institūcijas", attiecīgajā locījumā un 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Saīsinājumu sarakstā - precizēt Izglītības un zinātnes ministrijas akronīmu - IZM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informatīvo ziņojumu un izlabot gramatiskās kļūdas, piemēram, 11.,18., 22., 35., 41. un 50.lpp.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līdz 2026. gada 1. jūnijam un pēc tam regulāri reizi trijos gados  sagatavot ziņojumu par  mērķu, uzdevumu un aktivitāšu izpildi, un publicēt Ekonomikas ministrijas interneta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tiek noteikti vairāki uzdevumi, proti, ne tikai Ekonomiskas ministrijai, bet arī, piemēram, Izglītības un zinātnes ministrijai. Ievērojot minēto, aicinām izvērtēt un nepieciešamības gadījumā atbilstoši papildināt lēmuma projektu, norādot, ka attiecīgās institūcijas veic paredzētos uzdevumus atbilstoši informatīvajā ziņojumā noteiktajam atbildību sadalījumam.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formālus uzdevumus kontrolei šobrīd iekļaut nav nepieciešams. Ekonomikas ministrija koordinēs informatīvā ziņojuma izpildi sadarbībā ar iesaistītajām ministrijām.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līdz 2026. gada 1. jūnijam un pēc tam regulāri reizi trijos gados  sagatavot ziņojumu par  mērķu, uzdevumu un aktivitāšu izpildi, un publicēt Ekonomikas ministrijas interneta vietnē.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25-TA-1058</w:t>
    </w:r>
    <w:r>
      <w:br/>
    </w:r>
    <w:r w:rsidR="00000000" w:rsidRPr="00000000" w:rsidDel="00000000">
      <w:rPr>
        <w:rtl w:val="0"/>
      </w:rPr>
      <w:t xml:space="preserve">26.09.2025. 18.47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25-TA-1058</w:t>
    </w:r>
    <w:r>
      <w:br/>
    </w:r>
    <w:r w:rsidR="00000000" w:rsidRPr="00000000" w:rsidDel="00000000">
      <w:rPr>
        <w:rtl w:val="0"/>
      </w:rPr>
      <w:t xml:space="preserve">26.09.2025. 18.47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Izziņa_25-TA-1058.docx</dc:title>
</cp:coreProperties>
</file>

<file path=docProps/custom.xml><?xml version="1.0" encoding="utf-8"?>
<Properties xmlns="http://schemas.openxmlformats.org/officeDocument/2006/custom-properties" xmlns:vt="http://schemas.openxmlformats.org/officeDocument/2006/docPropsVTypes"/>
</file>