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24-TA-1532: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2.1.1. specifiskā atbalsta mērķa “Energoefektivitātes veicināšana un siltumnīcefekta gāzu emisiju samazināšana”  2.1.1.6. pasākuma “Pašvaldību ēku energoefektivitātes paaugstināšana”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2.1.1. specifiskā atbalsta mērķa “Energoefektivitātes veicināšana un siltumnīcefekta gāzu emisiju samazināšana”  2.1.1.6. pasākuma “Pašvaldību ēku energoefektivitātes paaugstināšana”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Viedās administrācijas un reģionālās attīstības ministrijas ierosinātie grozījumi Eiropas Savienības Kohēzijas politikas programmā 2021.-2027.gadam, kas paredz iekļaut jaunu iznākuma rādītāju, kas ir tiešā veidā attiecināms uz 2.1.1.6.pasākuma "Pašvaldību ēku energoefektivitātes paaugstināšana" 2.kārtas īstenošanu, vēl nav apstiprināti nacionālā līmenī un secīgi Eiropas Komisijā, lūdzam papildināt protokollēmuma projektu ar jaunu punktu piedāvātajā redakcijā, kā arī izsekojamībai izvērstāku informāciju iekļaut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ministrijai informēt Ministru kabinetu par priekšlikumiem rīcībai gadījumā, ja netiek saņemts pozitīvs Eiropas Komisijas lēmums par  grozījumiem Eiropas Savienības Kohēzijas politikas programmā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2.1.1. specifiskā atbalsta mērķa “Energoefektivitātes veicināšana un siltumnīcefekta gāzu emisiju samazināšana”  2.1.1.6. pasākuma “Pašvaldību ēku energoefektivitātes paaugstināšana” otrās projektu iesniegumu atlases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iesnieguma minimālais attiecināmo izmaksu apmērs nav mazāks par 200 000 </w:t>
            </w:r>
            <w:r w:rsidR="00000000" w:rsidRPr="00000000" w:rsidDel="00000000">
              <w:rPr>
                <w:i w:val="1"/>
                <w:rtl w:val="0"/>
              </w:rPr>
              <w:t xml:space="preserve">euro</w:t>
            </w:r>
            <w:r w:rsidR="00000000" w:rsidRPr="00000000" w:rsidDel="00000000">
              <w:rPr>
                <w:rtl w:val="0"/>
              </w:rPr>
              <w:t xml:space="preserve"> (ieskaitot) un projekta iesnieguma maksimālais Eiropas Reģionālā attīstības fonda finansējums ir 800 000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atjaunojamās elektroenerģijas ražošanu arī reģionālās ūdenssaimniecībās, nepieciešams pārskatīt minimālo attiecināmo izmaksu apmēru, samazinot to līdz 100 000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nepieciešams, lai būtu iespējams tehniski un ekonomiski pamatoti uzstādīt atjaunojamās elektroenerģijas sistēmas ūdenssaimniecībās ar CE&lt;10 000 un potenciālo saražotās elektroenerģijas jaudu vismaz 50 kW.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noteikumu projektā nav noteikts minimālais projektam pieejamais finansējuma apjoms, lai nodrošinātu pēc iespējas plašāku finansējuma pieejamību, dažāda lieluma projektiem. Vienlaikus pasākumā netiek piemērotas vienkāršoto izmaksu iespējas, jo arī nelielos projektos to izmaksas var būtiski atšķirties no esošā sabiedrisko ūdenssaimniecības pakalpojumu sniegšanā iesaistīto tehnoloģisko iekārtu un procesu stāvokļa, pastāvošās tehnoloģijas, tās vecuma un efektivitātes un citiem aspektiem, tai skaitā plānotajiem tehnoloģiskajiem risinājumiem un to kombinācijām. Minētie secinājumi ir atbilstoši Finanšu ministrijas iepirkuma Nr.FM 2021/25 “Izvērtējums “Vienkāršoto izmaksu piemērošanas iespējas 2021.-2027. gada ES fondu plānošanas periodā”” secinātajam, kur pasākuma 2.1.1.6. ietvaros netiek paredzēta augsta iespēja piemērot vienkāršoto izmaksu iespējas. Ņemot vērā, ka pasākuma ietvaros tiek piešķirts valsts atbalsts un kopējā projekta summa var būt mazāka par 200 000 euro,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53. panta 2. punktam var netikt piemērotas vienkāršoto izmaksu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ņemts vērā Latvijas Pašvaldības Savienības iebildums (skat.izziņas 3.punktu), ka kapitālsabiedrības var realizēt projektu tikai par 80 000 euro, uzstādot saules paneļus tikai lielākajos elektrības patēriņa objektos, kas ir finansiāli pamatots un radītu reālu ilgtermiņa ieguvumu.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projektā, lai atbalstītu sabiedrisko ūdenssaimniecības pakalpojumu sniedzējus, kuri sniedz pakalpojumus notekūdeņu apsaimniekošanas aglomerācijās (turpmāk – aglomerācija) ar piesārņojuma slodzes apjomu cilvēkekvivalentos mazāku par 10 000, tiek noteikts, ka šādās aglomerācijās minimālā kopējā uzstādītā atjaunīgo energoresursu enerģijas papildu ražošanas jauda ir 50kW. Vienlaikus nosakot, ka kopējā minimālā jauda ir 100,00 kW,  ja projekta iesniegumā norādītā aglomerācija ir ar piesārņojuma slodzes apjomu cilvēkekvivalentos lielāku par 10 000.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iesnieguma maksimālais Eiropas Reģionālās attīstības fonda finansējums ir 1 000 000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iesnieguma minimālais attiecināmo izmaksu apmērs nav mazāks par 200 000 </w:t>
            </w:r>
            <w:r w:rsidR="00000000" w:rsidRPr="00000000" w:rsidDel="00000000">
              <w:rPr>
                <w:i w:val="1"/>
                <w:rtl w:val="0"/>
              </w:rPr>
              <w:t xml:space="preserve">euro</w:t>
            </w:r>
            <w:r w:rsidR="00000000" w:rsidRPr="00000000" w:rsidDel="00000000">
              <w:rPr>
                <w:rtl w:val="0"/>
              </w:rPr>
              <w:t xml:space="preserve"> (ieskaitot) un projekta iesnieguma maksimālais Eiropas Reģionālā attīstības fonda finansējums ir 800 000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SIA “Rīgas ūdens” līdzšinējo pieredzi, skaidrojam, ka viena iesniedzamā projekta maksimālais Eiropas Reģionālā attīstības fonda finansējums 800 000 euro ir nepietiekams, lai ar 65 procentu intensitāti nosegtu atjaunīgo energoresursu enerģijas 999,99 kW papildu elektroenerģijas ražošanas jaudas uzstādīšanas izmaksas. Piemēram, pēdējā veiktajā SIA “Rīgas ūdens” atklātajā konkursā par 960 kW un 499 kW jaudīgo saules elektrostacijas būvniecību ūdens sagatavošanas un notekūdeņu attīrīšanas iekārtu teritorijās, tika secināts, ka saules elektrostaciju būvniecība ūdenssaimniecības objektos var būt saistīta ar dažāda veida papildus izmaksām: nepieciešamā augstsprieguma sadales izbūve/pārbūve; inženierģeoloģiskā izpēte ar pamesto ēku vai iekārtu konstrukciju izrakšanu; metālam agresīvā vide, kas pieprasa dārgāku saules fotoelementu paneļu stiprinājumu konstrukcijas risinājumu; kā arī dažādi citi apstākļi, kas kopumā nosaka cenu svārstību līdz 1,7 EUR/kWh notekūdeņu attīrīšanas stacijas teritorijā. Ievērojot priekšlikuma nr. COM(2022) 541 Eiropas Parlamenta un Padomes Direktīvas pārskatīšanu par komunālo notekūdeņu attīrīšanu Nr.91/271/EEK, šīs atbalsts būs nozīmīgs tieši notekūdeņu attīrīšanas stacijām, līdz 2045.gada 31.decembrim tām būs jāražo atjaunojamā enerģija 100% apmērā no to kopējā enerģijas patēriņa. Tāpat papildus izmaksas rada un projektus sadārdzina projekta iesniedzējam noteiktās prasības, kuras ir vērstas uz projekta vides aizsardzības uzraudzību, jo īpaši MKN projekta 27.punktā noteiktās prasības par horizontālo principu novērošanu, īpašie noteikumi būvdarbu veicējiem par būvgružu šķirošanu, koku pasargāšanu. Ņemot vērā iepriekš minēto, lūdzam palielināt MKN projekta 12.punktā minēto projekta iesnieguma maksimālo Eiropas Reģionālā attīstības fonda finansējumu līdz 1 000 000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patreiz projektā paredzēts attiecināt tikai lielos projektus, kuros projektu summa ir no 200 000 euro, par šo summu kapitālsabiedrībām saules parks ar akumulatoriem (obligāti) būtu jāuzstāda pilnīgi visos objektos. Dažas kapitālsabiedrības var realizēt projektu tikai par 80 000 euro, uzstādot saules parku tikai lielākajos elektrības patēriņa objektos (4 adresēs), kas ir finansiāli pamatots un radītu reālu ilgtermiņa ieguvumu.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noteikumu projektu, ka projekta iesnieguma maksimālais Eiropas Reģionālā attīstības fonda finansējumu ir līdz 1 000 000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noteikumu projektā nav noteikts minimālais projektam pieejamais finansējuma apjoms, lai nodrošinātu pēc iespējas plašāku finansējuma pieejamību, dažāda lieluma projektiem. Vienlaikus pasākumā netiek piemērotas vienkāršoto izmaksu iespējas, jo arī nelielos projektos to izmaksas var būtiski atšķirties no esošā sabiedrisko ūdenssaimniecības pakalpojumu sniegšanā iesaistīto tehnoloģisko iekārtu un procesu stāvokļa, pastāvošās tehnoloģijas, tās vecuma un efektivitātes un citiem aspektiem, tai skaitā plānotajiem tehnoloģiskajiem risinājumiem un to kombinācijām. Minētie secinājumi ir atbilstoši Finanšu ministrijas iepirkuma Nr.FM 2021/25 “Izvērtējums “Vienkāršoto izmaksu piemērošanas iespējas 2021.-2027. gada ES fondu plānošanas periodā”” secinātajam, kur pasākuma 2.1.1.6. ietvaros netiek paredzēta augsta iespēja vienkāršoto izmaksu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tiek piešķirts valsts atbalsts un kopējā projekta summa var būt mazāka par 200 000 euro,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53. panta 2. punktam var netikt piemērotas vienkāršoto izmaksu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http://petijumi.mk.gov.lv/sites/default/files/title_file/Izv%C4%93rt%C4%93juma%20zi%C5%86ojums_vienk%C4%81r%C5%A1otas%20izmaksas.docx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https://eur-lex.europa.eu/legal-content/LV/TXT/?uri=CELEX%3A02021R1060-20240630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iesnieguma maksimālais Eiropas Reģionālās attīstības fonda finansējums ir 1 000 000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Atlases kārtas ietvaros par vienu sabiedrisko ūdenssaimniecības pakalpojumu sniegšanas teritoriju vai tās daļu – aglomerāciju, var iesniegt ne vairāk kā vienu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kas šajā redakcijā tiek uzskatīts par aglomerāciju. Biedrības ieskatā analoģijas būtu velkamas ar notekūdeņu apsaimniekošanas aglomērācijām, bet tas radītu virkni ar pretrunām,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lielākajā daļā Latvijas pašvaldību, atbilstoši MK noteikumiem nr.34 par Noteikumi par piesārņojošo vielu emisiju ūdenī pārskata un saskaņo notekūdeņu apsaimniekošanas aglomerāciju robežas un ar to saistīto cilvēku ekvivalentu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daļā sabiedrisko ūdenssaimniecības pakalpojumu sniegšanas teritoriju notekūdeņu apsaimniekošanas aglomerācijas nav saistāmas ar ūdensapgādes pakalpojumu sniegšanas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definēt, kas šo noteikumu kontekstā tiek saprasts ar terminu "aglomerācija" vai arī pārskatīt termina lietošanas nepieciešamību. Biedrības ieskatā projektu realizāciju un iesniegšanu būtu iespējams attiecināt arī  ūdenssaimniecības pakalpojumu sniegšanas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lai viennozīmīgi definētu, ka projekta īstenošanas vieta ir sabiedrisko ūdenssaimniecības pakalpojumu sniegšanas teritorija, vienlaikus, par vienu sabiedrisko ūdenssaimniecības pakalpojumu sniegšanas teritorijā esošu aglomerāciju un ar to saistīto centralizēto ūdensapgādes sistēmu, projekta iesniedzējs var iesniegt ne vairāk kā vienu projekta iesniegumu. Ja sabiedrisko ūdenssaimniecības pakalpojumu sniegšanas teritorijā ir vairākas aglomerācijas, tad  projekta iesniedzējs var iesniegt par katru aglomerāciju atsevišķu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attīrīšanas jomā Latvijai kā ES dalībvalstij saistošas ir Padomes 1991. gada 21. maija Direktīvas 91/271/EEK par komunālo notekūdeņu attīrīšanu (turpmāk – Komunālo notekūdeņu direktīva)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Komunālo notekūdeņu direktīvas izpratnē "aglomerācija" nozīmē zonu, kur iedzīvotāju skaits un/vai ekonomiskās aktivitātes ir pietiekami koncentrētas, lai varētu savākt notekūdeņus un novadīt tos uz notekūdeņu attīrīšanas iekārtām vai uz to galīgās novadīšanas vietu vidē. "1 c.e. (cilvēka ekvivalents)" nozīmē bioloģiski attīrāmo notekūdeņu daudzumu, kas piecas dienas pēc kārtas bioķīmiski piesaista 60 g skābekļa dienā (BSP5).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2002. gada 22. janvāra noteikumu Nr. 34 "Noteikumi par piesārņojošo vielu emisiju ūdenī" 31.1 punktam aglomerācija ir apdzīvota vieta vai tās robežās esoša atsevišķa teritorijas daļa,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Aglomerācijā radīto notekūdeņu piesārņojumu (slodzi), kurš nonāk attīrīšanas iekārtās, izsaka cilvēku ekvivalentos CE. Atbilstoši MK noteikumu Nr. 34 32. punktam,  centralizētas kanalizācijas sistēmas ierīko visās aglomerācijās, kur cilvēku ekvivalents ir lielāks vai vienāds ar 2000. Par centralizētu kanalizācijas sistēmu ierīkošanu atbild vietējā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aglomerācijas definīciju un robežas nosaka atbilstoši Ministru kabineta 2002. gada 22. janvāra noteikumiem Nr. 34 "Noteikumi par piesārņojošo vielu emisiju ūdenī".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saskaņā ar 2002. gada 22. janvāra Ministru kabineta noteikumu Nr. 34 “Noteikumi par piesārņojošo vielu emisiju ūdenī” 31.2 un 31.3 apakšpunktiem pašvaldība līdz 2024. gada 30. jūnijam izvērtē tās administratīvajā teritorijā esošo aglomerāciju robežas un līdz 2025. gada 2. janvārim atbilstoši kompetencei iesniedz Klimata un enerģētikas ministrijai lēmumu par aglomerācijas robežu noteikšanu, tad sabiedrisko ūdenssaimniecības pakalpojumu sniegšanas teritorijā spēkā esošā  aglomerācijas robeža tiek noteikta uz dienu, kad sadarbības iestādē tiek iesniegts projekta iesniegums.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Atlases kārtas ietvaros par vienu sabiedrisko ūdenssaimniecības pakalpojumu sniegšanas teritorijā esošo notekūdeņu apsaimniekošanas aglomerāciju (turpmāk - aglomerāciju) un ar to saistīto centralizēto ūdensapgādes sistēmu projekta iesniedzējs var iesniegt ne vairāk kā vienu projekta iesniegumu. Projekta iesniedzējs var iesniegt projekta iesniegumu par katru tā sabiedrisko ūdenssaimniecības pakalpojumu sniegšanas teritorijā esošo aglomerāciju un ar to saistīto centralizēto ūdensapgādes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Atlases kārtas ietvaros par vienu sabiedrisko ūdenssaimniecības pakalpojumu sniegšanas teritoriju vai tās daļu – aglomerāciju, var iesniegt ne vairāk kā vienu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rakstīts, ka varēs piesaistīt finansējumu mazajām sistēmām, tad lūgums precizēt vai var iesniegt vienu projektu viens projekta iesniedzējs par vairākām aglomerācijām vienā projekta pieteikumā.  Tādā veidā summējot uzstādītās elektrostacijas, lai kopā sasniegtu vismaz 100kw jaudu.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2., 4. un 18.un 26.punktu.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Atlases kārtas ietvaros par vienu sabiedrisko ūdenssaimniecības pakalpojumu sniegšanas teritorijā esošo notekūdeņu apsaimniekošanas aglomerāciju (turpmāk - aglomerāciju) un ar to saistīto centralizēto ūdensapgādes sistēmu projekta iesniedzējs var iesniegt ne vairāk kā vienu projekta iesniegumu. Projekta iesniedzējs var iesniegt projekta iesniegumu par katru tā sabiedrisko ūdenssaimniecības pakalpojumu sniegšanas teritorijā esošo aglomerāciju un ar to saistīto centralizēto ūdensapgādes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līguma darbības laiku, kas nav īsāks par pieciem gadiem un nepārsniedz 10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 kura brīža tiek uzskaitīts līguma darbības laiks. Vai līgums, kurš beidzas 2029.gadā būtu jāpagarina?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valsts atbalsta piešķiršanas nosacījumiem, atlīdzības maksājumi ir piešķirami, tikai pamatojoties uz pašvaldības un sabiedrisko pakalpojumu sniedzēja noslēgto pakalpojumu līgumu par ūdenssaimniecības sabiedrisko pakalpojumu sniegšanu.  Informējam, ka jānodrošina  sabiedrisko ūdensapgādes pakalpojumu sniegšanas periodu, kas nav mazāks par 5 gadiem un nepārsniedz 10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stājas spēkā ar tā parakstīšanas brīdi. Līgumā  tiek norādīts uz kādu laiku tas ir noslēgts. Ja atbalsta sniegšanas laikā līgums, beidzoties tā termiņam, netiek pagarināts, vai arī noslēgts jauns pakalpojumu līgums, tad finansējuma saņēmējam ir pienākums atmaksāt saņemto atbalsta maksājumu. Attiecīgi, ja projekta uzraudzības termiņš pārsniedz 2029.gadu, tad esošais līgums savlaicīgi, pirms beidzas termiņš, būs jāpagarina vai jānoslēdz jauns pakalpojuma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līguma darbības laiku, kas nav īsāks par pieciem gadiem un nepārsniedz 10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līguma darbības laiku, kas nav īsāks par pieciem gadiem un nepārsniedz 10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esošo pieredzi dažiem projektu pakalpojuma sniedzējiem ir atlikuši uz doto mirkli 4 gadi, vai pastāv iespēja šo punktu precizēt - līguma darbības laiku, kas nav īsāks par četriem gadiem un nepārsniedz 10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šo punktu neattiecināt, ja projekta iesniedzējs ir pašvaldība vai pašvaldības aģentūra, vai 100% pašvaldībai piederoša kapitālsabiedrība.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jānodrošina  sabiedrisko ūdensapgādes pakalpojumu sniegšanas periodu, kas nav mazāks par 5 gadiem un nepārsniedz 10 gadus. Līgums stājas spēkā ar tā parakstīšanas brīdi un tiek norādīts uz kādu laiku tas ir noslēgts. Ņemot vērā, ka finansējuma saņēmējam vismaz piecus gadus pēc noslēguma maksājuma veikšanas ir jānodrošina veikto investīciju ilgtspēju un uzturēšanu darba kārtībā, tad nav atbalstāma situācija, ka līguma darbības ilgums ir 4 gadi un pēdējos projekta īstenošanas/monitoringa gados finansējuma saņēmējam vairs nav jānodrošina  sabiedrisko ūdensapgādes pakalpojumu sniegšana konkrētajā aglomerācijā.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informējam, ka atbilstoši Eiropas Komisijas 2011. gada 20. decembra lēmumam par Līguma par Eiropas Savienības darbību 106. panta 2. punkta piemērošanu valsts atbalstam attiecībā uz kompensāciju par sabiedriskajiem pakalpojumiem dažiem uzņēmumiem, kuriem uzticēts sniegt pakalpojumus ar vispārēju tautsaimniecisku nozīmi, (turpmāk – EK lēmums) un Eiropas Komisijas 2011. gada 20. decembra paziņojumam par Eiropas Savienības atbalsta noteikumu piemērošanu kompensācijai, kas piešķirta par vispārējas tautsaimnieciskas nozīmes pakalpojumu sniegšanu (jo īpaši 11. punkts), jebkura darbība, kas ietver preču vai pakalpojumu piedāvāšanu tirgū, ir saimnieciskā darbība, neatkarīgi no saimnieciskās darbības veicēja juridiskā statusa, kurai tiek piemēroti Līguma par Eiropas Savienības darbību 106., 107. vai 108. panta noteikumi. EK lēmums paredz, ka sabiedrisko pakalpojumu sniedzējiem var tikt piešķirta kompensācija, t.i. atlīdzības maksājumi, ja ir izpildītas visas noteiktās prasības (īpaši, ņemot vērā EK lēmuma 2., 4., 5. un 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tiesiskais regulējums par sabiedrisko pakalpojumu sniegšanu un minētais EK lēmums veido pamatojumu atlīdzības maksājumu piešķiršanai ieguldījumiem un finansiālam atbalstam sabiedrisko pakalpojumu sniedzēju infrastruktūrā, kas tiek līdzfinansēti no Eiropas Savienības struktūrfondiem vai pašvaldības budžeta (arī valsts budžeta) līdzfinansējuma.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Līguma par Eiropas Savienības darbību 106., 107. vai 108. panta noteikumi nav piemērojami izpildvaras administratīvajām funkcijām, kas sastāv no atsevišķiem pārvaldes uzdevumiem. Līdz ar to pārvaldes uzdevumu izpildei nav iespējams piešķirt atlīdzības maksājumus (tajā skaitā arī ar deleģēšanas līgumu deleģētiem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40. panta pirmajai daļai publiska persona var deleģēt privātpersonai un citai publiskai personai pārvaldes uzdevumu, ja pilnvarotā persona attiecīgo uzdevumu var veikt efektīvāk. Tātad deleģēti tiek pārvaldes uzdevumi, nevis komercdarbības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valsts atbalsta piešķiršanas nosacījumiem, atlīdzības maksājumi ir piešķirami, tikai pamatojoties uz pašvaldības un komersanta (sabiedrisko pakalpojumu sniedzēja) noslēgto pakalpojumu līgumu par ūdenssaimniecības sabiedrisko pakalpojumu sniegšanu vai  pašvaldības vai tās iestādes gadījumā ir  pieņemts pārvaldes lēmums par sabiedrisko ūdenssaimniecības pakalpojumu sniegšanu vai pašvaldības aģentūras gadījumā ir izdoti pašvaldības saistošie noteikumi par sabiedrisko ūdenssaimniecības pakalpojumu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līguma darbības laiku, kas nav īsāks par pieciem gadiem un nepārsniedz 10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sabiedrisko ūdenssaimniecības pakalpojumu sniegšanas periodu, kas nav mazāks par pieciem gadiem un nepārsniedz 10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sakrīt ar 15.3 punktu  un piedāvātā redakcija  - sabiedrisko ūdenssaimniecības pakalpojumu sniegšanas periodu, kas nav mazāks par četriem gadiem un nepārsniedz 10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šo punktu neattiecināt, ja projekta iesniedzējs ir pašvaldība vai pašvaldības aģentūra, vai 100% pašvaldībai piederoša kapitālsabiedrība.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sabiedrisko ūdenssaimniecības pakalpojumu sniegšanas periodu, kas nav mazāks par pieciem gadiem un nepārsniedz 10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projektu īsteno atbilstoši šo noteikumu 15. vai 17. punktam, projekta iesniedzējs iesniedz sadarbības iestādē vispārējas tautsaimnieciskas nozīmes pakalpojuma pilnvarojuma uzlicēja apliecinājumu par šo noteikumu 15.6. apakšpunktā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 Ja projektu īsteno atbilstoši šo noteikumu 16. punktam, projekta iesniedzējs kopā ar projekta iesniegumu iesniedz apliecinājumu par sabiedriskajiem ūdenssaimniecības pakalpojumiem paredzēto kopējo maksājumu kontroli un pārskatīšanu, kā arī atlīdzības (kompensācijas) maksājumu pārmaksas novēršanu un atgūšanu, ievērojot Eiropas Komisijas lēmumā Nr.  2012/21/ES noteikto pārbaužu regularitāti, bet ne retāk kā reizi trijos gados un pilnvarojuma akta darbības perioda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punktā norādīta atsauce uz </w:t>
            </w:r>
            <w:r w:rsidR="00000000" w:rsidRPr="00000000" w:rsidDel="00000000">
              <w:rPr>
                <w:i w:val="1"/>
                <w:rtl w:val="0"/>
              </w:rPr>
              <w:t xml:space="preserve">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w:t>
            </w:r>
            <w:r w:rsidR="00000000" w:rsidRPr="00000000" w:rsidDel="00000000">
              <w:rPr>
                <w:rtl w:val="0"/>
              </w:rPr>
              <w:t xml:space="preserve">(turpmāk - Lēmums). Saistībā ar minēto vēršam uzmanību,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2. pants noteic, ka šo lēmumu piemēro valsts atbalstam attiecībā uz kompensāciju par sabiedrisko pakalpojumu sniegšanu, kas piešķirta uzņēmumiem, kuriem uzticēts sniegt pakalpojumus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13. pants noteic, ka šis lēmums ir adresēts dalībvalstīm. Ievērojot minēto, šajā gadījumā nepieciešams izvērtēt, vai Lēmums satur tādas normas, kas attiecināmas arī uz privātpersonām. Ja Lēmums šādas normas satur, tad lūdzam tās pārņemt noteikumu projektā un attiecīgi precizēt noteikumu projekta 21. punktu, svītrojot atsauci uz Lēmumu. Ja Lēmums nesatur normas, kas jāattiecina uz privātpersonām, un Lēmumu var tieši izpildīt valsts iestādes, tad arī šādā gadījumā noteikumu projekta 21. punktā atsauce uz Lēmumu svītrojama, jo atbilstoši Ministru kabineta 2009. gada 3. februāra noteikumu Nr. 108 "Normatīvo aktu projektu sagatavošanas noteikumi" 170.-172. punktam normatīvā akta tekstā atsauces raksta tikai uz Eiropas Savienības regulām.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Skat. arī Eiropas Savienības tiesību ieviešanas rokasgrāmatas 2.8. apakšnodaļu „Lēmumu ieviešana”, 48. lp., pieejama: https://www.tm.gov.lv/lv/es-tiesibu-ieviesana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projektu īsteno atbilstoši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18.</w:t>
            </w:r>
            <w:r w:rsidR="00000000" w:rsidRPr="00000000" w:rsidDel="00000000">
              <w:rPr>
                <w:rtl w:val="0"/>
              </w:rPr>
              <w:t xml:space="preserve"> punktam, projekta iesniedzējs iesniedz sadarbības iestādē vispārējas tautsaimnieciskas nozīmes pakalpojuma pilnvarojuma uzlicēja apliecinājumu par šo noteikumu </w:t>
            </w:r>
            <w:r w:rsidR="00000000" w:rsidRPr="00000000" w:rsidDel="00000000">
              <w:rPr>
                <w:rtl w:val="0"/>
              </w:rPr>
              <w:t xml:space="preserve">16.6.</w:t>
            </w:r>
            <w:r w:rsidR="00000000" w:rsidRPr="00000000" w:rsidDel="00000000">
              <w:rPr>
                <w:rtl w:val="0"/>
              </w:rPr>
              <w:t xml:space="preserve"> apakšpunktā minētās atlīdzības (kompensācijas) maksājumu kontroli un pārskatīšanu, kā arī minēto atlīdzības (kompensācijas) maksājumu pārmaksas novēršanu un atgūšanu, ievērojot Eiropas Savienības līmenī vispārējas tautsaimnieciskas nozīmes pakalpojumiem noteikto pārbaužu regularitāti, bet ne retāk kā reizi trijos gados un pilnvarojuma akta darbības perioda beigās. Ja projektu īsteno atbilstoši šo noteikumu </w:t>
            </w:r>
            <w:r w:rsidR="00000000" w:rsidRPr="00000000" w:rsidDel="00000000">
              <w:rPr>
                <w:rtl w:val="0"/>
              </w:rPr>
              <w:t xml:space="preserve">17.</w:t>
            </w:r>
            <w:r w:rsidR="00000000" w:rsidRPr="00000000" w:rsidDel="00000000">
              <w:rPr>
                <w:rtl w:val="0"/>
              </w:rPr>
              <w:t xml:space="preserve"> punktam, projekta iesniedzējs kopā ar projekta iesniegumu iesniedz apliecinājumu par sabiedriskajiem ūdenssaimniecības pakalpojumiem paredzēto kopējo maksājumu kontroli un pārskatīšanu, kā arī atlīdzības (kompensācijas) maksājumu pārmaksas novēršanu un atgūšanu, ievērojot Eiropas Savienības līmenī vispārējas tautsaimnieciskas nozīmes pakalpojumiem noteikto pārbaužu regularitāti, bet ne retāk kā reizi trijos gados un pilnvarojuma akta darbības perioda beigās.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tiek pārkāptas šajos noteikumos noteiktās komercdarbības atbalsta piešķiršanas prasības vispārējas tautsaimnieciskas nozīmes pakalpojuma sniegšanai, atbalsta saņēmējam ir pienākums atmaksāt sadarbības iestādei projekta ietvaros saņemto nelikumīgo komercdarbības atbalstu kopā ar procentiem no līdzekļiem par kuriem nav saņemts nekāds komercdarbības atbalsts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elektroenerģijas pārdošana tīklā, kad lokāli nav iespējams izmantot visu saražoto elektroenerģiju, un secīga tās pirkšana atpakaļ, kad tā tiek saražota mazāk nekā lokāli patērēta, netiek uzskatīta par komerdarbības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projekta ietvarā saražoto elektroenerģiju nodod elektroenerģijas pārvades un sadales sistēmā, tad ievēro, ka 100% no saražotās enerģijas tiks izmantoti pašpatēriņam. Šī prasība uzskatāma par izpildītu, ja kalendāra gada griezumā ar uzstādītajām iekārtām saražotā enerģija finanšu izteiksmē nenosedz attiecīgajā ūdenssaimniecības pakalpojuma vai procesā iesaistīto tehnoloģisko iekārtu un procesu elektroenerģijas patēriņu, kā arī elektroenerģijas norēķinu sistēmā nav izveidojies saražotās enerģijas pārpalikums (finanšu izteiksmē kalendārā gada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pašpatēriņu šo noteikumu izpratnē neuzskata tā paša lietotāja citos ar projektu nesaistītos objektos patērēto elektroenerģiju, ja tās finanšu vērtība tiek segta daļēji vai pilnīgi, izmantojot norēķinu sistēmu atbilstoši Elektroenerģijas tirgus likuma 30.5 panta otrajai daļai. Šādā gadījumā finansējuma saņēmējam jānodrošina izsekojama uzskaite un aprēķini par elektroenerģijas un finanšu plūsmām, kas pierāda, ka ir nodrošināta šī noteikumu projekta prasība par pašpatēriņu attiecīgajā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tiek pārkāptas šajos noteikumos noteiktās komercdarbības atbalsta piešķiršanas prasības vispārējas tautsaimnieciskas nozīmes pakalpojuma sniegšanai, atbalsta saņēmējam ir pienākums atmaksāt sadarbības iestādei projekta ietvaros saņemto nelikumīgo komercdarbības atbalstu kopā ar procentiem no līdzekļiem par kuriem nav saņemts nekāds komercdarbības atbalsts saskaņā ar Komercdarbības atbalsta kontroles likuma IV vai 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iesniedzējam ir īpašuma tiesības uz nekustamo īpašumu, tai skaitā zemi un infrastruktūru, kurā tiks veiktas projektā paredzētās darbības (minētās tiesības nostiprinātas zemesgrāmatā ne vēlāk kā līdz pirmā maksājuma pieprasījuma iesniegšanai sadarbības iestādē), izņemot, ja atjaunīgos energoresursus izmantojošu elektroenerģiju ražojošu un/vai to saražotās enerģijas akumulējošās iekārtu uzstādāmā teritorija (zemes vienība) nav projekta iesniedzēja īpašumā, tad projekta iesniedzējs apliecina, ka projekta dzīves ciklā tam būs spēkā esošs nomas līgums vai līgums par apbūves tiesību uz zemes vienību, kurā veiktas darbības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viena no Eiropas Savienības fondu prasībām ir, ja Ministru kabineta noteikumi par specifisko atbalsta mērķi ir attiecināmi uz infrastruktūru, tad finansējuma saņēmēja tiesībām uz konkrēto objektu vai īpašumu, kurā plānots veikt ieguldījumus (īpašumā, ilgtermiņa nomā vai nodibinātas apbūves tiesības, bezatlīdzības lietošanā, valdījumā, turējumā u.c.), jābūt nostiprinātām Zemesgrāmatā, kas faktiski izriet no Civillikuma 994.panta regulējuma. </w:t>
            </w:r>
            <w:r w:rsidR="00000000" w:rsidRPr="00000000" w:rsidDel="00000000">
              <w:rPr>
                <w:u w:val="single"/>
                <w:rtl w:val="0"/>
              </w:rPr>
              <w:t xml:space="preserve">Gadījumā, ja minētajam nosacījumam saskaņā ar nacionālo regulējumu ir izņēmums, tad minētais attiecīgi aprakstāms Ministru kabineta noteikumu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punkts paredz izņēmumu attiecībā uz minētā nosacījuma izpildi, proti, noteikts, ka </w:t>
            </w:r>
            <w:r w:rsidR="00000000" w:rsidRPr="00000000" w:rsidDel="00000000">
              <w:rPr>
                <w:i w:val="1"/>
                <w:rtl w:val="0"/>
              </w:rPr>
              <w:t xml:space="preserve">ja atjaunīgos energoresursus izmantojošu elektroenerģiju ražojošu un/vai to saražotās enerģijas akumulējošās iekārtu uzstādāmā teritorija (zemes vienība) nav projekta iesniedzēja īpašumā, tad projekta iesniedzējs apliecina, ka projekta dzīves ciklā tam būs spēkā esošs nomas līgums vai līgums par apbūves tiesību uz zemes vienību, kurā veiktas darbības projekta ietvaros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24. punktā noteikts, ka</w:t>
            </w:r>
            <w:r w:rsidR="00000000" w:rsidRPr="00000000" w:rsidDel="00000000">
              <w:rPr>
                <w:i w:val="1"/>
                <w:rtl w:val="0"/>
              </w:rPr>
              <w:t xml:space="preserve"> ja projektā nav slēdzams būvdarbu līgums darbību īstenošanai brīvostas teritorijā, projekta iesniedzējs apliecina, ka projekta dzīves ciklā tam būs spēkā esošs nomas līgums vai līgums par apbūves tiesību uz zemes vienību, kurā veiktas darbības projekta ietvaros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minētās normas ar prasību, ka arī attiecīgās tiesības, t.i., nomas līgums vai līgums par apbūves tiesību uz zemes vienību, tiks nostiprinātas Zemesgrāmatā. Vai arī lūdzam papildināt anotāciju ar iemesliem, kāpēc attiecībā uz minēto tiek noteikts izņēmums, un īpašumtiesības nevarētu nostiprināt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projekta 23. un 24. punktu ar norādi, kādai iestādei minētājas tiesību normās noteiktais apliecinājums ir jāiesniedz. Papildus lūdzam skaidrot, vai tas būs kā projekta iesnieguma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Eiropas Parlamenta un Padomes 2021. gada 14.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panta 1. punkta "c" apakšpunktam dalībvalsts atmaksā iemaksas, kas no fondiem saņemtas darbībai, tostarp investīcijas infrastruktūrā vai produktīvas investīcijas, ja piecu gadu laikā pēc galīgā maksājuma saņēmējam vai attiecīgā gadījumā laikposmā, kas paredzēts valsts atbalsta noteikumos, saistībā ar minēto darbību notiek būtiskas izmaiņas, kas ietekmē darbības veidu, mērķus vai īstenošanas nosacījumus, tādējādi traucējot tās sākotnējo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iesniedzējam tiesības uz minēto īpašumu ir jābūt visā projekta īstenošanas laikā un vismaz piecus gadus pēc projekta īstenošanas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norma ir attiecināma uz projekta dzīves ciklu, jo projektā obligāti tiek uzstādītas vismaz atjaunīgo energoresursu izmantojošas elektroenerģiju ražojošas iekārtas un secīgi minimālais projekta dzīves cikls pārsniedz 5 gadus, t.i ir vismaz 15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iesniedzējam ir īpašuma tiesības uz nekustamo īpašumu, tai skaitā zemi un infrastruktūru, kurā tiks veiktas projektā paredzētās darbības (minētās tiesības nostiprinātas zemesgrāmatā ne vēlāk kā līdz pirmā maksājuma pieprasījuma iesniegšanai sadarbības iestādē), izņemot, ja atjaunīgos energoresursus izmantojošu elektroenerģiju ražojošu un/vai to saražotās enerģijas akumulējošās iekārtu uzstādāmā teritorija (zemes vienība) nav projekta iesniedzēja īpašumā, tad projekta iesniedzējs projekta iesniegumam pievieno apliecinājumu, ka projekta īstenošanas laikā un projekta dzīves ciklā tam būs spēkā esošs nomas līgums vai līgums par apbūves tiesību uz zemes vienību, kurā veiktas darbības projekta ietvaros. Minētās tiesības tiek nostiprinātas zemesgrāmatā ne vēlāk kā līdz pirmā maksājuma pieprasījuma iesniegšanai sadarbības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ekonomiskā ienesīguma norma ir lielāka par sociālā diskonta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kā aprēķinā iekļaut kopējā sadales tīklā nodotās elektroenerģijas ienākumu kompenenti, ja plānotais projekta dzīves cikls ir 15 gadi?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dzēšot noteikuma projekta 26.punktu, papildinot anotācijas 1.3. un 2.sadaļu un ņemot vērā atkārtotus Centrālās finanšu un līgumu aģentūras Valsts atbalsta nodaļas (turpmāk – CFLA) izteiktos iebildumus atlases kārtas projektu iesniegumu vērtēšanas kritēriju saskaņošanas procesa laikā  ES fondu 2021.–2027.gada plānošanas perioda Uzraudzības komitejā Eiropas Savienības kohēzijas politikas programmas 2021. – 2027. gadam (turpmāk UK) ar pieprasījumu dzēst vienotās izvēles kritēriju Nr.1.5 "Projekta izmaksu lietderīgums ir pamatots ar projekta izmaksu un ieguvumu analīzi" projektiem, kurus plānots atlasīt atklātā atlasē,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ranžējot projektus jau tiks analizēts lietderīgums un finansējuma efektīvāka izmantošana (skat. 3.1.kritēriju);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pretendentiem tiek paredzēta samazināta atbalsta likme - 65%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izmaksu un ieguvumu analīze nav pārkompensācijas kontroles rīks, jo pārkompensācijas uzraudzību veic funkcijas uzlicējs, nevis CFLA viena projekta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Ministru kabineta 2023. gada 13. jūlija sēdes protokollēmumam (prot. Nr. 36 85. § 3. punkts) šajā pasākumā, kur ir atklāta projektu iesniegumu atlase un kur nav jāaprēķina finanšu iztrūkums, izmaksu un ieguvumu analīze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CFLA veicot izvērtējumu ir secinājusi, ka citos normatīvajos aktos nav izteiktu nepieciešamību noteikt deficīta likmi sabiedrisko pakalpojumu sniedzēju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nelietderīgs administratīvo resursu slogs gan CFLA gan projekta iesniedzējiem sagatavojot projekta iesniegumu, veicot projekta iesnieguma vērtēšanu, t.sk. projektu iesniedzējiem, kas iesniegs maza apjoma projektus (100 000 -300 000 EUR apmērā) par aglomerācijām ar piesārņojuma slodzes apjomu cilvēkekvivalentos mazāku par 10 000, kas iesniegs atbalsta lūgumu uzstādīt iekārtas iekārtām ar jaudu 50 kW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ieviešot projektus tiks sniegta pozitīva ietekme uz tautsaimniecību, jo projekti pēc būtības sniedz sociālekonomiskus ieguvumus (energoefektivitātes uzlabošana un AER uzstādīšana) un stimulē sabiedrisko pakalpojumu tarifu samazināšanu. Attiecīgi tiek nodrošināts izmaksu samērīgums pret ieguvumiem un noteikumu projektā izmaksu ieguvumu analīze nav obligāti nosakāma.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dzēšot prasību par obligātu izmaksu ieguvumu analīzes iesniegšanu tiek ņemts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projekta ietvarā saražoto elektroenerģiju nodod elektroenerģijas pārvades un sadales sistēmā, tad ievēro, ka 100% no saražotās enerģijas tiks izmantoti pašpatēriņam.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pašpatēriņu šo noteikumu izpratnē neuzskata tā paša lietotāja citos ar projektu nesaistītos objektos patērēto elektroenerģiju, ja tās finanšu vērtība tiek segta daļēji vai pilnīgi, izmantojot norēķinu sistēmu atbilstoši Elektroenerģijas tirgus likuma 30.5 panta otrajai daļai. Šādā gadījumā finansējuma saņēmējam jānodrošina izsekojama uzskaite un aprēķini par elektroenerģijas un finanšu plūsmām, kas pierāda, ka ir nodrošināta šī noteikumu projekta prasība par pašpatēriņu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kopējā sadales tīklā nodotās elektroenerģijas ienākumu kompenente nenosedz attiecīgajā ūdenssaimniecības pakalpojuma vai procesā iesaistīto tehnoloģisko iekārtu un procesu elektroenerģijas patēriņu, kā arī elektroenerģijas norēķinu sistēmā nav izveidojies saražotās enerģijas pārpalikums (finanšu izteiksmē kalendārā gada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iesnieguma vērtēšanas nolikumā tiks paredzēts projekta iesniegumam pievienot aprēķinu, kas pierāda, ka uzstādāmās atjaunīgo energoresursu izmantojošas elektroenerģiju ražojošās jaudas nav lielākas par attiecīgajā ūdenssaimniecības pakalpojumu vai procesā iesaistītajām tehnoloģiskajām iekārtām un to patērēto elektroenerģijas jaudu gada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dzīves cikls ir 15 gadi saules elektrostacijas uzstādīšanas gadījumā. Uzstādot citu atjaunīgos energoresursus izmantojošu elektroenerģiju ražojošu tehnoloģiju projekta dzīves ciklu nosaka atbilstoši iekārtu lietderīgās kalpošanas ilgumam.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26.3. apakšpunkta redakcijas nav izsecināms visu elektroenerģiju ražojošu tehnoloģiju projektu dzīves cikls, jo to nosaka atbilstoši iekārtu lietderīgās kalpošanas ilgumam. Ņemot vērā minēto, lūdzam noteikumu projekta anotācijā skaidrot, kā (pēc kādiem kritērijiem) tiks vērtēts punktā minēto iekārtu lietderīgās kalpošanas ilgums un projekta dzīves cikls.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kāpēc saules elektrostacijas uzstādīšanas gadījumā dzīves cikls ir noteikts tieši 15 gadi, bet, uzstādot citu atjaunīgos energoresursus izmantojošu elektroenerģiju ražojošu tehnoloģiju, projekta dzīves ciklu nosaka atbilstoši iekārtu lietderīgās kalpošanas ilgumam.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noteikumu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atbalsts šajā atlases kārtā tiek piešķirts kā kompensācija par vispārējas tautsaimnieciskas nozīmes pakalpojumu sniegšanu, 15 gadu dzīves cikls saules elektrostacijām noteikts, jo šo iekārtu kalpošanas ilgums un tehniskā garantija ir vismaz 15 gadi, savukārt uzstādot citu atjaunīgos energoresursus izmantojošu elektroenerģiju ražojošu tehnoloģiju, piemēram, vēja elektrostaciju, dzīves cikls tiek noteikts 25 gadi, t.sk. ievērojot proporciju, ka citu atjaunīgos energoresursus izmantojošu elektroenerģiju ražojošu tehnoloģiju izmaksas ir par 40% dārgākas, tiek noteikts, lai novērstu pārkompensācijas riskus, kā arī ievērojot atbalstāmo darbību veikšanas rezultātā izveidoto pamatlīdzekļu orientējošo amortizācijas periodu.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projekts un anotācija, ka aprēķinos jāņem vērā, ka projekta dzīves cikls ir 15 gadi saules elektrostacijas uzstādīšanas gadījumā. Uzstādot citu atjaunīgos energoresursus izmantojošu elektroenerģiju ražojošu tehnoloģiju projekta dzīves cikls ir 25 gadi.  Vienlaikus, ņemot vērā, ka var būt dažādas inovatīvas atjaunīgos energoresursus izmantojošu elektroenerģiju ražojošu tehnoloģijas,  projekta iesniedzējs,, iesniedzot pamatojošos dokumentus, ka iekārtu lietderīgās kalpošanas ilgums ir starp 15 un 25 gadiem, var paredzēt projekta dzīves ciklu, kas ir no 15 līdz 25 gadiem. Šajā gadījumā sadarbības iestāde veic projektā norādīto iekārtu lietderīgās kalpošanas ilguma izvērtējumu, ja nepieciešams, pieaicinot atbilstošas jomas ekspertu.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iesniegumā  iekļauj šādas atbalstāmās darbības, kas ietver investīcijas infrastruktūras izveidei, pārbūvei vai atjaunošanai, kā arī tās funkcionalitātes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direktīvas (ES) 2023/1791 (2023. gada 13. septembris) par energoefektivitāti un ar ko groza Regulu (ES) 2023/955 (pārstrādāta redakcija) 8. pantu "Enerģijas ietaupījuma pienākums", Latvijai saistošs ir kumulatīvais enerģijas galapatēriņa ietaupījums. Lūgums papildināt tiesību aktu (viscauri, kur tas nepieciešams) un Anotācijas 1.3 sadaļā ar prasību projekta iesniegumā norādīt paredzamo sasniedzamo enerģijas galapatēriņa mērķrādītāju. Vienlaikus lūdzam iekļaut prasību par projekta uzraudzību atbildīgai iestādei ikgadēji ziņot par programmas rezultātā sasniegto enerģijas galapatēriņa ietaupījumu attiecīgajai iestādei (Būvniecības valsts kontroles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kā nacionālais rādītājs tiek noteikts sabiedrisko pakalpojumu sniedzēju kopējais sasniedzamais enerģijas galapatēriņa ietaupījuma rādītājs (netiek noteikta sasniedzamā vērtība, jo tā tiks noteikta atbilstoši īstenojamo projektu iesniegumos norādītajām vērtībām), kura sasniedzamā vērtība ir  norādāma projekta iesniegumā (ja attiecināms).  Vienlaikus, ņemot vērā, ka projektā paredzētajām darbībām ieguldītais Eiropas Reģionālās attīstības fonda finansējums uz vienu ietaupīto primārās enerģijas kilovatstundu (kWh) gadā ir mazāks par 10,01 euro un finansējuma saņēmējs var izvēlēties, kā papildu darbību sabiedrisko ūdenssaimniecības pakalpojumu sniegšanā dažu iesaistīto tehnoloģisko iekārtu un procesu energoefektivitātes uzlabošanu, ja šāda darbība paredzēta energoauditā, energopārvaldības sistēmas vai vides pārvaldības sistēmas dokumentācijā, tad tiek papildināts noteikuma projekts, ka finansējuma saņēmējs uzkrāj ar uzstādītajām iekārtām saražotās, patērētās un ietaupītās (ja attiecināms) enerģijas datus kalendāra gada ietvaros visā projekta dzīves ciklā un vismaz piecus gadus pēc noslēguma maksājuma veikšanas sniedz šo informāciju sadarbības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par nacionālo rādītāju, kā arī to, ka finansējuma saņēmējs vismaz piecus gadus pēc noslēguma maksājuma veikšanas sadarbības iestādei iesniedz pārskatu par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finansējuma saņēmēja iesniegto informāciju apkopo un sniedz attiecīgajai iestādei (Būvniecības valsts kontroles birojam) kā kompetentai institūcijai par Eiropas Parlamenta un Padomes Direktīva (ES) 2023/1791 (2023. gada 13. septembris) par energoefektivitāti un ar ko groza Regulu (ES) 2023/955 (pārstrādāta redakcija) izvirzītā mērķa monitorēšanu.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iesniegumā iekļauj šādas atbalstāmās darbības, kas nodrošina projekta mērķa sasniegšanu un ietver investīcijas infrastruktūras izveidei, pārbūvei vai atjaunošanai, kā arī tās funkcionalitātes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atjaunīgos energoresursus izmantojošu elektroenerģiju ražojošu un to saražotās enerģijas akumulējošās iekārtas, ja šādas darbības paredzētas energoauditā un tiek ievēroti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šobrīd ūdenssaimniecību uzņēmumos notiek plaša reorganizācijas, pievienojot jaunas pakalpojumu sniegšanas teritorijas, līdz ar to arī infrastruktūru, kas nav tikusi iekļauta līdz šim izstrādātajos energoauditos. Tādējādi, nepieciešams skaidrojums, vai energoauditu atkārtota izstrāde ir nepieciešama arī gadījumos, ja uzņēmums ir pārņēmis jaunus pamatlīdzekļus, kas varētu netikt iesaistīti attiecīgā projekta realizācijā?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pieļaujot, ka darbības var būt pamatotas ne tikai ar uzņēmuma energoauditu, bet arī energopārvaldības sistēmas vai vides pārvaldības sistēmas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 nepieciešams ir attiecināmas energoaudita sagatavošanas vai papildināšanas izmaksas, energopārvaldības sistēmas vai vides pārvaldības sistēmas dokumentācijas vai to papildinājumu izstrādes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projekta ietvarā primārās enerģijas samazinājumu pārbauda no esošā kopējās primārās enerģijas novērtējuma attiecīgajā ūdenssaimniecības pakalpojuma vai procesa ietvaros atņemot projekta iesnieguma veidlapā un pielikumā pievienotajos dokumentos norādīto paredzamo kopējo primārās enerģijas novērtējumu šī pakalpojuma vai procesa ietvaros pēc projekta īstenošanas. Netiek izvirzīts nosacījums, ka visi sabiedriskā pakalpojuma sniedzēja ārpus projekta esošie pamatlīdzekļi ir jāuzrāda projektā iesniegtajos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atjaunīgos energoresursus izmantojošu elektroenerģiju ražojošas iekārtas, ja šādas darbības paredzētas uzņēmuma energoauditā, energopārvaldības sistēmas vai vides pārvaldības sistēmas dokumentācijā un tiek ievēroti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 sabiedrisko ūdenssaimniecības pakalpojumu sniedzējam visa saražotā enerģija vērtības izteiksmē, jāizmanto tikai ūdenssaimniecības sabiedrisko pakalpojumu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skaidrot terminu "visa saražotā enerģija" - vai situācija, kurā dienas laikā saražotā enerģija tiek nodota tīklā, bet naktī nopirkta no tīkla tādā pašā vai lielākā apjomā nekā saražota, tiek uzskatīta par visas enerģijas izmantošanu ūdenssaimniecības sabiedrisko pakalpojumu 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sabiedrisko ūdenssaimniecības pakalpojumu sniedzējam visa saražotā enerģija vērtības izteiksmē, jāizmanto tikai ūdenssaimniecības sabiedrisko pakalpojumu sniegšanai, t.i. ja projekta ietvarā saražoto elektroenerģiju nodod elektroenerģijas pārvades un sadales sistēmā, tad ievēro, ka 100% no saražotās enerģijas tiks izmantoti pašpatēriņam. Šī prasība uzskatāma par izpildītu, ja kalendāra gada griezumā ar uzstādītajām iekārtām saražotā enerģija finanšu izteiksmē nenosedz attiecīgajā ūdenssaimniecības pakalpojuma vai procesā iesaistīto tehnoloģisko iekārtu un procesu elektroenerģijas patēriņu, kā arī elektroenerģijas norēķinu sistēmā nav izveidojies saražotās enerģijas pārpalikums (finanšu izteiksmē kalendārā gada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pašpatēriņu šo noteikumu izpratnē neuzskata tā paša lietotāja citos ar projektu nesaistītos objektos patērēto elektroenerģiju, ja tās finanšu vērtība tiek segta daļēji vai pilnīgi, izmantojot norēķinu sistēmu atbilstoši Elektroenerģijas tirgus likuma 30.5 panta otrajai daļai. Šādā gadījumā finansējuma saņēmējam jānodrošina izsekojama uzskaite un aprēķini par elektroenerģijas un finanšu plūsmām, kas pierāda, ka ir nodrošināta šī noteikumu projekta prasība par pašpatēriņu attiecīgajā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 sabiedrisko ūdenssaimniecības pakalpojumu sniedzējam visa saražotā enerģija vērtības izteiksmē jāizmanto tikai pašpatēriņam ūdenssaimniecības sabiedrisko pakalpojumu 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 uzstādīto atjaunīgo energoresursu enerģijas papildu elektroenerģijas ražošanas jauda nav mazāka par 100,00 kW un nepārsniedz 999,99 kW;</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minētajai informācijai, lai projektu realizāciju radītu pieejamāku arī ūdenssaimniecības uzņēmumiem, kuru CE ir mazāks par 10 000, lūdzam pārskatīt minimālo ražošanas jaudu un samazināt to līdz 50 kW.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tiktu nodrošināta tieši ūdenssaimiecību segmenta 1000-10000 CE plašāka integrēšana projekta realizācijā un mērķu sasniegšanā.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 uzstādīto atjaunīgo energoresursu enerģijas papildu elektroenerģijas ražošanas jauda kopsummā nepārsniedz 999,99 kW un kopsummā nav mazāka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 uzstādīto atjaunīgo energoresursu enerģijas papildu elektroenerģijas ražošanas jauda nav mazāka par 100,00 kW un nepārsniedz 999,99 kW;</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saņēmusi dažu pašvaldību priekšlikumus, ka kapitālsabiedrībām norādītā jauda ir pārāka liela un nav tik liels patstāvīgs elektroenerģijas patēriņš vienā objektā, līdz ar to projektus būtu jārealizē 4 lielākos objektos, kaut gan jaudas sadalīšana projekta anotācijā nav aizliegta, ir tikai noteikts projektu iesniegumu skaits aglomerācijā – noteikts ir viens.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vienā aglomerācijā ir iespējams realizēt divus projektus, piemēram, Rūjienas pilsētā ūdens stacija Rīgas ielā 30, uzstādāmā jauda 10 kw, attīrīšanas iekārtas Brīvības ielā 35 uzstādāmā jauda 40 kw. Attālums starp abām adresēm ap 1,5km, abas ir pilsētā. Līdzīgi ir Mazsalacas pilsētā.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var iesniegt par vienu aglomerāciju, vienlaikus, projektā var iekļaut šajā aglomerācijā dažādās vietās atrodošās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anotācijā jau ir paredzēts un sniegts skaidrojums, ka uzstādīto atjaunīgo energoresursu enerģijas papildu ražošanas jaudu var summēt (piemēram, ja tiek uzstādītas atsevišķi dažādas atjaunīgo energoresursu ražojošas tehnoloģijas vai iekārtas, t.sk., ja iekārtas tiek uzstādītas dažādās zemes vienībās), ievērojot, ka kopējā uzstādīto atjaunīgo energoresursu enerģijas papildu ražošanas jauda nepārsniedz 999,99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skatīt izziņas 2.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 uzstādīto atjaunīgo energoresursu enerģijas papildu elektroenerģijas ražošanas jauda kopsummā nepārsniedz 999,99 kW un kopsummā nav mazāka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sabiedrisko ūdenssaimniecības pakalpojumu sniegšanā iesaistīto tehnoloģisko iekārtu un procesu energoefektivitātes uzlabošana;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šo aktivitāti būtu iespējams realizēt bez energoaudita veikšanas, bet ar atbilstošu pamatojošo aprēķinu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papildinot noteikumu projektu ar iespēju izmantot, ka darbības var būt pamatotas energoauditā, energopārvaldības sistēmas vai vides pārvaldības sistēmas dokumentācijā. Ja nepieciešams, ir attiecināmas energoaudita sagatavošanas vai papildināšanas izmaksas, energopārvaldības sistēmas vai vides pārvaldības sistēmas dokumentācijas vai to papildinājumu izstrādes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skaidrojumus arī izziņas 15. un 30.punktos.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sabiedrisko ūdenssaimniecības pakalpojumu sniegšanā iesaistīto tehnoloģisko iekārtu un procesu energoefektivitātes uzlabošana, ja šāda darbība paredzēta uzņēmuma energoauditā, energopārvaldības sistēmas vai vides pārvaldības sistēmas dokumentācijā;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Atlases kārtas ietvaros plāno tikai attiecināmās izmaksas. Izmaksas, kas saskaņā ar šiem noteikumiem nav iekļaujamas projektā kā attiecināmās izmaksas, ir finansējamas ārpus projekta par finansējuma saņēmēja līdzekļiem. Ārpus projekta nedrīkst paredzēt izmaksas par darbībām, kas tiešā veidā nodrošina projekta mērķa sasniegšanu, izņemot šo noteikumu </w:t>
            </w:r>
            <w:r w:rsidR="00000000" w:rsidRPr="00000000" w:rsidDel="00000000">
              <w:rPr>
                <w:rtl w:val="0"/>
              </w:rPr>
              <w:t xml:space="preserve">36.4.</w:t>
            </w:r>
            <w:r w:rsidR="00000000" w:rsidRPr="00000000" w:rsidDel="00000000">
              <w:rPr>
                <w:rtl w:val="0"/>
              </w:rPr>
              <w:t xml:space="preserve"> apakšpunktā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30.2. punktā minēto ierobežojumu par 10% no izmaksām attiecināmību uz, piemēram, traucējošu būvju nojaukšanu, kā arī 32.punktā minētais nepieļauj ārpus projekta izmaksas mērķa sasniegšanai. Tomēr, atsevišķas izmaksas teritorijas sagatavošanai var būtiski pārsniegt 10%, līdz ar to nepieciešams paredzēt iespēju, ka ārpus projekta tiek radītas papildu izmaksas projekta mērķu sasniegšanai, kas nav attiecināmas uz projekta realizācijas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palielinot bijušā 30.2.apakšpunktā minēto ierobežojumu līdz 35%, vienlaikus, ņemot vērā, ka pie lielākiem projekta izdevumiem traucējošu būvju nojaukšanā tiks apdraudēta pasākuma mērķa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32.punkta redakcija netiek mainīta, jo projektos nav iekļaujamas neattiecināmās izmaksas. Prasība, ka ārpus projekta netiek īstenotas darbības, kas tiešā veidā nodrošina projekta mērķa sasniegšanu, tiek iekļauta, lai novērstu gadījumus, kad, piemēram, iekārtu pamatnes būvdarbi tiek īstenoti ārpus projekta un sadarbības iestādei nav iespējams veikt pilnvērtīgu uzraudzību. Vienīgais izņēmums ir projekta izmaksu sadārdzinājums.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Atlases kārtas ietvaros plāno tikai attiecināmās izmaksas. Izmaksas, kas saskaņā ar šiem noteikumiem nav iekļaujamas projektā kā attiecināmās izmaksas, ir finansējamas ārpus projekta par finansējuma saņēmēja līdzekļiem. Ārpus projekta nedrīkst paredzēt izmaksas par darbībām, kas tiešā veidā nodrošina projekta mērķa sasniegšanu, izņemot šo noteikumu </w:t>
            </w:r>
            <w:r w:rsidR="00000000" w:rsidRPr="00000000" w:rsidDel="00000000">
              <w:rPr>
                <w:rtl w:val="0"/>
              </w:rPr>
              <w:t xml:space="preserve">35.4.</w:t>
            </w:r>
            <w:r w:rsidR="00000000" w:rsidRPr="00000000" w:rsidDel="00000000">
              <w:rPr>
                <w:rtl w:val="0"/>
              </w:rPr>
              <w:t xml:space="preserve"> apakšpunktā minētās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sākotnējo Eiropas Savienības kohēzijas politikas programmas 2021.–2027.gadam papildinājumu (informāciju par ES fondu plānotajām projektu atlasēm un to indikatīvo laika grafiku) un tajā iekļauto pasākumu 2.1.1.6. Pašvaldību ēku energoefektivitātes paaugstināšana, Liepājas valstspilsētas pašvaldība gatavojās tam un plānoja iesniegt pasākuma atlasē augstas gatavības projektu (ar izstrādātu tehnisko dokumentācijas ēkas energoefektivitātes pasākumiem). Šobrīd secinām, ka sākotnējais pasākums ticis sadalīts 3 kārtās, no kurām 1. kārtā ierobežotas projektu iesniegumu atlases dēļ Liepājas valstspilsētas pašvaldība projekta iesniegumu nevar iesniegt, izstrādātais 2. kārtas noteikumu projekts arī neparedz pašvaldības kā projektu iesniedzējus, taču 3. kārtas nosacījumu vēl nav zināmi. Vēlamies gūt pārliecību, ka vismaz 3.kārtā šāda iespēja - iesniegt projekta iesniegumu 2.1.1.6. pasākuma ietvaros - tiks dota arī Liepājas valstspilsētas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2.1.1.6.pasākuma trešās kārtas atklāts konkurss specifiski tikai pašvaldību ēku energoefektivitātei paredzēts Eiropas Savienības kohēzijas politikas programmas elastības finansējuma ietvaros 2026.gadā, ja elastības finansējuma pieejamībai tiks saņemts EK akcepts un Ministru kabinets pieņems lēmumu piešķirt finansējumu 2.1.1.6.pasākuma trešās kārtas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2.1.1.6.pasākuma trešās kārtas tehniskos nosacījumus, t.sk nosacījumus projektu iesniedzējiem, šobrīd vēl detalizēti nevaram definēt, jo šie nosacījumi būs ļoti atkarīgi no 2023. gada 13. septembra Eiropas Parlamenta un Padomes Direktīvas (ES) 2023/1791 par energoefektivitāti un ar ko groza Regulu (ES) 2023/955 (pārstrādāta redakcija) praktiskās pārņemšanas dalībvalsts normatīvajos aktos, īpaši minētās direktīvas 6.panta prasības, kas tieši attiecināmas uz publisko struktūru ēkām, un, kuras jāpārņem līdz 2025.gada 11.oktobrim. Par minētās direktīvas pārņemšanu, laika grafiku, prasību ietvaru un detalizāciju VARAM šobrīd ir saziņā ar Ekonomikas ministriju un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informējam, ka 2.1.1.6.pasākuma trešās kārtas investīcijas īstenošanas grafiks tiek plānots tieši pakārtots tam, lai ieguldījumi pašvaldību sektora ēkās būtu atbilstoši minētajā direktīvā noteiktajiem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papildus informāciju aicinām iepazīties VARAM tīmekļa vietnē: https://www.varam.gov.lv/lv/pasvaldibu-eku-energoefektivitates-paaugstinasana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Atlases kārtas ietvaros līdz 2027. gada 31. decembrim sasniedzamais iznākuma rādītājs –  uzstādītā atjaunīgos energoresursus izmantojošo tehnoloģiju enerģijas papildu ražošanas jauda. Iznākuma rādītāja vērtība tiek sasniegta, ja atlases kārtas projektu ietvaros veikti ieguldījumi, nodrošinot papildu uzstādīto atjaunīgos energoresursus izmantojošo enerģijas avotu papildu ražošanas jaudu ar kopējo vērtību vismaz 2 MW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noteikt garāku termiņu noteikumu projekta 4.punktā noteiktā rādītāja sasniegšanai (līdz 2029.gada 31.decembrim), ņemot vērā ES fondu 2021-2027 investīciju īstenošanas attiecināmības termiņu (2029.gada 31.decembris), kā arī potenciāli mazinot administratīvo slogu termiņa kavējuma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Savienības kohēzijas politikas programmai 2021.-2027.gadam iznākuma rādītājiem ir noteiktas sasniedzamās vērtības 2024.gadam un 2029.gadam (atbilstoši Eiropas Parlamenta un Padomes 2021.gada 24.jūnija regulai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nosacījumiem - turpmāk Vispārējā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t.sk. papildinot 34.punktu nosakot 36 mēnešu projekta īstenošanas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Atlases kārtas ietvaros līdz 2029. gada 31. decembrim sasniedzamie rādītāji: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4.</w:t>
            </w:r>
            <w:r w:rsidR="00000000" w:rsidRPr="00000000" w:rsidDel="00000000">
              <w:rPr>
                <w:rtl w:val="0"/>
              </w:rPr>
              <w:t xml:space="preserve">  punktā minēto rādītāju uzskata par sasniegtu noslēguma maksājuma veikšanas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atlases kārtā ir paredzēta vairāku projektu ieviešana, lai nodrošinātu tiesību normas skaidrību, aicinām precizēt 5.punkta nosacījumu attiecinot to uz projekta līmeni - t.i., ka 4. punktā minēto rādītāju projektā uzskata par sasniegtu noslēguma maksājuma veikšanas 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w:t>
            </w:r>
            <w:r w:rsidR="00000000" w:rsidRPr="00000000" w:rsidDel="00000000">
              <w:rPr>
                <w:rtl w:val="0"/>
              </w:rPr>
              <w:t xml:space="preserve">4.1.</w:t>
            </w:r>
            <w:r w:rsidR="00000000" w:rsidRPr="00000000" w:rsidDel="00000000">
              <w:rPr>
                <w:rtl w:val="0"/>
              </w:rPr>
              <w:t xml:space="preserve"> apakšpunktā minēto rādītāju projektā uzskata par sasniegtu noslēguma maksājuma veikšanas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iesnieguma minimālais attiecināmo izmaksu apmērs nav mazāks par 200 000 </w:t>
            </w:r>
            <w:r w:rsidR="00000000" w:rsidRPr="00000000" w:rsidDel="00000000">
              <w:rPr>
                <w:i w:val="1"/>
                <w:rtl w:val="0"/>
              </w:rPr>
              <w:t xml:space="preserve">euro</w:t>
            </w:r>
            <w:r w:rsidR="00000000" w:rsidRPr="00000000" w:rsidDel="00000000">
              <w:rPr>
                <w:rtl w:val="0"/>
              </w:rPr>
              <w:t xml:space="preserve"> (ieskaitot) un projekta iesnieguma maksimālais Eiropas Reģionālā attīstības fonda finansējums ir 800 000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SIA “Rīgas ūdens” līdzšinējo pieredzi, skaidrojam, ka viena iesniedzamā projekta maksimālais Eiropas Reģionālā attīstības fonda finansējums 800 000 euro ir nepietiekams, lai ar 65 procentu intensitāti nosegtu atjaunīgo energoresursu enerģijas 999,99 kW papildu elektroenerģijas ražošanas jaudas uzstādīšanas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pēdējā veiktajā SIA “Rīgas ūdens” atklātajā konkursā par 960 kW un 499 kW jaudīgo saules elektrostacijas būvniecību ūdens sagatavošanas un notekūdeņu attīrīšanas iekārtu teritorijās, tika secināts, ka saules elektrostaciju būvniecība ūdenssaimniecības objektos var būt saistīta ar dažāda veida papildus izmaksām: nepieciešamā augstsprieguma sadales izbūve/pārbūve; inženierģeoloģiskā izpēte ar pamesto ēku vai iekārtu konstrukciju izrakšanu; metālam agresīvā vide, kas pieprasa dārgāku saules  fotoelementu paneļu stiprinājumu konstrukcijas risinājumu; kā arī dažādi citi apstākļi, kas kopumā nosaka cenu svārstību līdz 1,7 EUR/kWh notekūdeņu attīrīšanas stacijas teritorijā. Ievērojot priekšlikuma nr. COM(2022) 541 Eiropas Parlamenta un Padomes Direktīvas pārskatīšanu par komunālo notekūdeņu attīrīšanu Nr.91/271/EEK, šīs atbalsts būs nozīmīgs tieši notekūdeņu attīrīšanas stacijām, līdz 2045.gada 31.decembrim tām būs jāražo atjaunojamā enerģija 100% apmērā no to kopējā enerģijas patēriņa. Tāpat papildus izmaksas rada un projektus sadārdzina projekta iesniedzējam noteiktās prasības, kuras ir vērstas uz projekta vides aizsardzības uzraudzību, jo īpaši MKN projekta 27.punktā noteiktās prasības par horizontālo principu novērošanu, īpašie noteikumi būvdarbu veicējiem par būvgružu šķirošanu, koku pasargāšanu.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palielināt MKN projekta 12.punktā minēto projekta iesnieguma maksimālo Eiropas Reģionālā attīstības fonda finansējumu līdz 1 000 000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iesnieguma maksimālais Eiropas Reģionālās attīstības fonda finansējums ir 1 000 000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iesnieguma minimālais attiecināmo izmaksu apmērs nav mazāks par 200 000 </w:t>
            </w:r>
            <w:r w:rsidR="00000000" w:rsidRPr="00000000" w:rsidDel="00000000">
              <w:rPr>
                <w:i w:val="1"/>
                <w:rtl w:val="0"/>
              </w:rPr>
              <w:t xml:space="preserve">euro</w:t>
            </w:r>
            <w:r w:rsidR="00000000" w:rsidRPr="00000000" w:rsidDel="00000000">
              <w:rPr>
                <w:rtl w:val="0"/>
              </w:rPr>
              <w:t xml:space="preserve"> (ieskaitot) un projekta iesnieguma maksimālais Eiropas Reģionālā attīstības fonda finansējums ir 800 000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minimālais projekta pieteikums ir 200 000 eur (ieskaitot) un maksimālās izmaksas uz vienu kw ir 1800 eur, tas nozīmē ka 200 000/1 800 = 111.12kw. Secinājums: minimālā uzstādāmā jauda pie saules elektrostacijas ir 111.12 kw? Vai arī minimums 200 000 ir ieskaitot projekta iesniedzēja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2., 3., 13., 17., 18.punktus.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iesnieguma maksimālais Eiropas Reģionālās attīstības fonda finansējums ir 1 000 000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Atlases kārtas ietvaros par vienu sabiedrisko ūdenssaimniecības pakalpojumu sniegšanas teritoriju vai tās daļu – aglomerāciju, var iesniegt ne vairāk kā vienu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var iesniegt vienu projektu viens projekta iesniedzējs par vairākām aglomerācijām vienā projekta pieteikumā, tādā veidā summējot uzstādītās elektrostacijas, lai kopā sasniegtu vismaz 100kw jaudu?  Anotācijā rakstīts, ka varēs piesaistīt finansējumu mazajām sistēmām, bet tajās noteikti tik lielas stacijas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ļoti būtiski, lai šāda iespēja tiktu iekļauta, jo pretējā gadījumā izveidojas diskriminācija pret lauku teritorijām ar nelielajām ūdensieguves stacijām un attīrīšanas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2., 3., 13., 17., 18.punktus.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Atlases kārtas ietvaros par vienu sabiedrisko ūdenssaimniecības pakalpojumu sniegšanas teritorijā esošo notekūdeņu apsaimniekošanas aglomerāciju (turpmāk - aglomerāciju) un ar to saistīto centralizēto ūdensapgādes sistēmu projekta iesniedzējs var iesniegt ne vairāk kā vienu projekta iesniegumu. Projekta iesniedzējs var iesniegt projekta iesniegumu par katru tā sabiedrisko ūdenssaimniecības pakalpojumu sniegšanas teritorijā esošo aglomerāciju un ar to saistīto centralizēto ūdensapgādes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sabiedrisko ūdenssaimniecības pakalpojumu sniedz kapitālsabiedrība, tā ar pašvaldību ir noslēgusi pakalpojuma līgumu. Pakalpojuma līgumā norāda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tiesību normas izpratnei lūdzam noteikumu projekta 15., 16. un 17.punkta ievaddaļā papildināt aiz vārdiem "pakalpojumu sniedz" ar vārdiem "finansējuma saņēmējs, kas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sabiedrisko ūdenssaimniecības pakalpojumu sniedz finansējuma saņēmējs, kas ir kapitālsabiedrība, tā ar pašvaldību ir noslēgusi pakalpojuma līgumu. Pakalpojuma līgumā norāda vismaz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līguma darbības laiku, kas nav īsāks par pieciem gadiem un nepārsniedz 10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15.3; 16.4; 17.5  punktiem (5 gadu kontekstā). Priekšlikums šos punktus neattiecināt, ja projekta iesniedzējs ir pašvaldība vai pašvaldības aģentūra, vai 100% pašvaldībai piederoša kapitālsabiedrība, jo katrreiz, kad izsludina kādu fondu projektu pakalpojuma sniedzējiem, tā jātaisa līguma grozījumi, ja atlikuši uz doto mirkli, piemēram, 4 gadi. Pārējie punkti jebkurā gadījumā uzliek pienākumu, ka izveidotā infrastruktūra jāizmanto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skaidrojumus izziņas 6., un 8.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līguma darbības laiku, kas nav īsāks par pieciem gadiem un nepārsniedz 10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iesniedzējam kā grūtībās nonākušam uzņēmumam komercdarbības atbalsts netiek piešķirts, ja tas atbilst vismaz vienai no Komisijas 2014. gada 17. jūnija Regulas Nr. 651/2014, ar ko noteiktas atbalsta kategorijas atzīst par saderīgām ar iekšējo tirgu, piemērojot Līguma 107. un 108. pantu (Eiropas Savienības Oficiālais Vēstnesis, 2014. gada 26. jūnijs, Nr. L 187) 2. panta 18. punktā paredzētajām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 651/2014 2. panta 18. punkta nosacījumi ir jāvērtē/jāpiemēro uzņēmuma grupas līmenī (Komisijas Regulas Nr. 651/2014 angliskajā versijā nosacījumi, kas ir attiecināmi uz "undertaking", ir jāpārbauda/jāpiemēro uzņēmuma grupas līmenī). Attiecīgi lūdzam papildināt noteikumu projekta 20. punktu ar nosacījumu, ka projekta iesniedzējs tiks vērtēts grupas līmenī, tādējādi nodrošinot, ka ar terminu "uzņēmums" tiek saprasts, ka uzņēmums tiek vērtēts grupas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iesniedzējam kā grūtībās nonākušam uzņēmumam komercdarbības atbalsts netiek piešķirts, ja tas atbilst vismaz vienai no Komisijas 2014. gada 17. jūnija Regulas Nr. 651/2014, ar ko noteiktas atbalsta kategorijas atzīst par saderīgām ar iekšējo tirgu, piemērojot Līguma 107. un 108. pantu (Eiropas Savienības Oficiālais Vēstnesis, 2014. gada 26. jūnijs, Nr. L 187) 2. panta 18. punktā paredzētajām pazīmēm. Grūtībās nonākuša uzņēmuma pazīmes vērtē projekta iesniedzējam individuāli un tā saistīto personu grupai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iesniegumā  iekļauj šādas atbalstāmās darbības, kas ietver investīcijas infrastruktūras izveidei, pārbūvei vai atjaunošanai, kā arī tās funkcionalitātes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situācijas, ka atbalstāmo darbību ietvaros tiek iekļautas tādas darbības, kas nav vērstas uz projekta mērķa sasniegšanu, piemēram, 28.4.apakšpunktā norādītās atbalstāmās darbības ietvaros, rosinām iekļaut papildinājumu, ka projekta iesniegumā iekļauj tikai tādas darbības, kas nodrošina projekta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iekļauj šādas atbalstāmās darbības, kas ietver investīcijas infrastruktūras izveidei, pārbūvei vai atjaunošanai, kā arī tās funkcionalitātes nodrošināšanai,  projekta mērķa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iesniegumā iekļauj šādas atbalstāmās darbības, kas nodrošina projekta mērķa sasniegšanu un ietver investīcijas infrastruktūras izveidei, pārbūvei vai atjaunošanai, kā arī tās funkcionalitātes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sabiedrisko ūdenssaimniecības pakalpojumu sniegšanā iesaistīto tehnoloģisko iekārtu un procesu energoefektivitātes uzlabošana;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projekta iesniedzējam būtu skaidra un vienota izpratne par to, kādas darbības ir atbalstāmas zem "tehnoloģisko iekārtu un procesu energoefektivitātes uzlabošana" un izvairītos, ka zem šīm darbībām tiek iekļautas tādas iekārtas un procesi, kas nevecina projekta mērķa sasniegšanu, rosinām precīzākai izpratnei papildināt ar paskaidrojošo palīgteikumu "ja šāda darbība paredzēta energoauditā".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ūdenssaimniecības pakalpojumu sniegšanā iesaistīto tehnoloģisko iekārtu un procesu energoefektivitātes uzlabošana, ja šāda darbība paredzēta energoauditā.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sabiedrisko ūdenssaimniecības pakalpojumu sniegšanā iesaistīto tehnoloģisko iekārtu un procesu energoefektivitātes uzlabošana, ja šāda darbība paredzēta uzņēmuma energoauditā, energopārvaldības sistēmas vai vides pārvaldības sistēmas dokumentācijā;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tiek uzstādītas vismaz atjaunīgo energoresursu izmantojošas elektroenerģiju ražojošas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29.1 apakšpunktu, jo nav viennozīmīgi skaidrs, kas ir domāts ar “</w:t>
            </w:r>
            <w:r w:rsidR="00000000" w:rsidRPr="00000000" w:rsidDel="00000000">
              <w:rPr>
                <w:b w:val="1"/>
                <w:i w:val="1"/>
                <w:rtl w:val="0"/>
              </w:rPr>
              <w:t xml:space="preserve">tiek uzstādītas vismaz</w:t>
            </w:r>
            <w:r w:rsidR="00000000" w:rsidRPr="00000000" w:rsidDel="00000000">
              <w:rPr>
                <w:i w:val="1"/>
                <w:rtl w:val="0"/>
              </w:rPr>
              <w:t xml:space="preserve"> atjaunīgo energoresursu izmantojošas elektroenerģiju ražojošas iekārtas</w:t>
            </w:r>
            <w:r w:rsidR="00000000" w:rsidRPr="00000000" w:rsidDel="00000000">
              <w:rPr>
                <w:rtl w:val="0"/>
              </w:rPr>
              <w:t xml:space="preserve">”, vai tas ir domāts, ka tiek uzstādīta </w:t>
            </w:r>
            <w:r w:rsidR="00000000" w:rsidRPr="00000000" w:rsidDel="00000000">
              <w:rPr>
                <w:b w:val="1"/>
                <w:rtl w:val="0"/>
              </w:rPr>
              <w:t xml:space="preserve">vismaz viena</w:t>
            </w:r>
            <w:r w:rsidR="00000000" w:rsidRPr="00000000" w:rsidDel="00000000">
              <w:rPr>
                <w:rtl w:val="0"/>
              </w:rPr>
              <w:t xml:space="preserve"> atjaunīgo energoresursu izmantojošā elektroenerģiju ražojoša iekārta?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visām noteikumu projektā pieļaujamajām atbalstāmajām darbībām, projektā ir obligāti jāparedz vismaz atbalstāma darbība - atjaunīgos energoresursus izmantojošu elektroenerģiju ražojošas iekārtas uzstādīšana. Uzstādīto atjaunīgo energoresursu enerģijas papildu ražošanas jaudu var summēt (piemēram, ja tiek uzstādītas atsevišķi dažādas atjaunīgo energoresursu ražojošas tehnoloģijas vai iekārtas, t.sk., ja iekārtas tiek uzstādītas dažādās zemes vienībās).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atbilstoši šo noteikumu </w:t>
            </w:r>
            <w:r w:rsidR="00000000" w:rsidRPr="00000000" w:rsidDel="00000000">
              <w:rPr>
                <w:rtl w:val="0"/>
              </w:rPr>
              <w:t xml:space="preserve">28.1.</w:t>
            </w:r>
            <w:r w:rsidR="00000000" w:rsidRPr="00000000" w:rsidDel="00000000">
              <w:rPr>
                <w:rtl w:val="0"/>
              </w:rPr>
              <w:t xml:space="preserve"> apakšpunktam tiek uzstādītas vismaz atjaunīgo energoresursu izmantojošas elektroenerģiju ražojošas iekārtas;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ar sabiedrisko ūdenssaimniecības pakalpojumu sniegšanā iesaistīto tehnoloģisko iekārtu un procesu energoefektivitātes uzlabošanu saistītie ēku un iekārtu pārbūves darbi, nepārsniedzot 15 procentus no šo noteikumu </w:t>
            </w:r>
            <w:r w:rsidR="00000000" w:rsidRPr="00000000" w:rsidDel="00000000">
              <w:rPr>
                <w:rtl w:val="0"/>
              </w:rPr>
              <w:t xml:space="preserve">28.3.</w:t>
            </w:r>
            <w:r w:rsidR="00000000" w:rsidRPr="00000000" w:rsidDel="00000000">
              <w:rPr>
                <w:rtl w:val="0"/>
              </w:rPr>
              <w:t xml:space="preserve"> apakšpunktā minēto izmaksu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norādīto atsauci uz 28.3.apakšpunktu, jo 28.3.apakšpunkts nav par izmaksām, bet atbalstāmo darbību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ūdenssaimniecības pakalpojumu sniegšanā iesaistīto tehnoloģisko iekārtu un procesu energoefektivitātes uzlabošana.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ar sabiedrisko ūdenssaimniecības pakalpojumu sniegšanā iesaistīto tehnoloģisko iekārtu un procesu energoefektivitātes uzlabošanu saistītie ēku un iekārtu pārbūves darbi, nepārsniedzot 15 procentus no šo noteikumu </w:t>
            </w:r>
            <w:r w:rsidR="00000000" w:rsidRPr="00000000" w:rsidDel="00000000">
              <w:rPr>
                <w:rtl w:val="0"/>
              </w:rPr>
              <w:t xml:space="preserve">28.4.</w:t>
            </w:r>
            <w:r w:rsidR="00000000" w:rsidRPr="00000000" w:rsidDel="00000000">
              <w:rPr>
                <w:rtl w:val="0"/>
              </w:rPr>
              <w:t xml:space="preserve"> apakšpunktā minēto atbalstāmo darbību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radušās pēc šo noteikumu </w:t>
            </w:r>
            <w:r w:rsidR="00000000" w:rsidRPr="00000000" w:rsidDel="00000000">
              <w:rPr>
                <w:rtl w:val="0"/>
              </w:rPr>
              <w:t xml:space="preserve">33.</w:t>
            </w:r>
            <w:r w:rsidR="00000000" w:rsidRPr="00000000" w:rsidDel="00000000">
              <w:rPr>
                <w:rtl w:val="0"/>
              </w:rPr>
              <w:t xml:space="preserve"> punktā noteiktā termiņa – projekta iesniegumā neiekļauj un finansējumu nepiešķir pabeigtām darbībām, izņemot šo noteikumu </w:t>
            </w:r>
            <w:r w:rsidR="00000000" w:rsidRPr="00000000" w:rsidDel="00000000">
              <w:rPr>
                <w:rtl w:val="0"/>
              </w:rPr>
              <w:t xml:space="preserve">30.1.</w:t>
            </w:r>
            <w:r w:rsidR="00000000" w:rsidRPr="00000000" w:rsidDel="00000000">
              <w:rPr>
                <w:rtl w:val="0"/>
              </w:rPr>
              <w:t xml:space="preserve"> apakšpunktā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Vispārīgā regula 63. p. 6.p.attiecībā uz darbību pabeigtību paredz ierobežojumus tikai iesniegšanas brīdī, lūdzam izvērtēt iespējamību neierobežot iesniedzējus pabeigt projektu pēc projekta iesniegšanas, pirms atbalsta lēmuma pieņemšanas. Ierobežojuma atcelšana neradīs mākslīgus apstākļus projektu īstenošanā (piespiedu pabeigšanas vilcināšanu) un, iespējams, radīs pozitīvu ietekmi n+3 (vienkārši, ātri realizējami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radušās pēc šo noteikumu </w:t>
            </w:r>
            <w:r w:rsidR="00000000" w:rsidRPr="00000000" w:rsidDel="00000000">
              <w:rPr>
                <w:rtl w:val="0"/>
              </w:rPr>
              <w:t xml:space="preserve">33.</w:t>
            </w:r>
            <w:r w:rsidR="00000000" w:rsidRPr="00000000" w:rsidDel="00000000">
              <w:rPr>
                <w:rtl w:val="0"/>
              </w:rPr>
              <w:t xml:space="preserve"> punktā noteiktā termiņa – projekta iesniegumā neiekļauj un finansējumu nepiešķir pirms projekta iesniegšanas sadarbības iestādē pabeigtām darbībām, izņemot šo noteikumu </w:t>
            </w:r>
            <w:r w:rsidR="00000000" w:rsidRPr="00000000" w:rsidDel="00000000">
              <w:rPr>
                <w:rtl w:val="0"/>
              </w:rPr>
              <w:t xml:space="preserve">30.1.</w:t>
            </w:r>
            <w:r w:rsidR="00000000" w:rsidRPr="00000000" w:rsidDel="00000000">
              <w:rPr>
                <w:rtl w:val="0"/>
              </w:rPr>
              <w:t xml:space="preserve"> apakšpunktā minētās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no saviem līdzekļiem sedz projekta īstenošanas gaitā radušās sadārdzinājuma un citas papildu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35.4. apakšpunktu tā, lai uz projekta īstenošanas gaitā radušās sadārdzinājuma izmaksām, ko finansējuma saņēmējs sedz no saviem līdzekļiem, nodrošinātu piemērojamā komercdarbības atbalsta regulējuma normu ievērošanu. Skaidrojam, ka, ja atbalsts tiek piešķirts kā komercdarbības atbalsts, piemērojot EK lēmumu Nr. 2012/21/ES, tad gadījumā, ja sadārdzinājums tiek segts no līdzekļiem, kas ir publiskie līdzekļi, arī uz sadārdzinājumu jāattiecina piemērojamā komercdarbības atbalsta regulējuma nosacījumi. Savukārt, ja "savi līdzekļi" ir ieņēmumi no saimnieciskās darbības vai citi privātie resursi, tad komercdarbības atbalsta regulējums jāpiemēro nebūtu. Lai nosegtu abus šos scenārijus, jo noteikumu projektā nav skaidrs, ko ietver jēdziens "savi līdzekļi", aicinām papildināt punktu ar tekstu "nodrošinot piemērojamo komercdarbības atbalsta regulējuma normu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no saviem līdzekļiem sedz projekta īstenošanas gaitā radušās sadārdzinājuma un citas papildu izmaksas, nodrošinot piemērojamo komercdarbības atbalsta regulējuma normu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uzkrāj datus par šo noteikumu </w:t>
            </w:r>
            <w:r w:rsidR="00000000" w:rsidRPr="00000000" w:rsidDel="00000000">
              <w:rPr>
                <w:rtl w:val="0"/>
              </w:rPr>
              <w:t xml:space="preserve">4.</w:t>
            </w:r>
            <w:r w:rsidR="00000000" w:rsidRPr="00000000" w:rsidDel="00000000">
              <w:rPr>
                <w:rtl w:val="0"/>
              </w:rPr>
              <w:t xml:space="preserve"> punktā minētā rādītāja vērtībām un sniedz šo informāciju sadarbības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kādi dati jāuzkrāj, jo pie noslēguma maksājuma pieprasījuma būs norādīts, kādas jaudas iekārta ir uzstādīta un tās jauda nemainās. Attiecīgi datus var uzkrāt par to, cik AER iekārta gada laikā saražo, cik ir patērēts.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ir nepieciešams norādīt laika periodu,  kurā ir jāziņo dati (piemēram, pēcuzraudzības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uzkrāj ar projekta ietvaros uzstādītajām iekārtām saražotās, patērētās un ietaupītās (ja attiecināms) enerģijas datus kalendāra gada ietvaros visā projekta dzīves ciklā un piecus gadus pēc noslēguma maksājuma veikšanas sniedz šo informāciju sadarbības iestādei;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36.2.4. vienlīdzība, iekļaušana, nediskriminācija un pamattiesību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horizontālā principa “Vienlīdzība, iekļaušana, nediskriminācija un pamattiesību ievērošana”  (HP VINPI) īstenošanai un uzraudzībai (2021-2027) [1], pasākumos, kuriem nav ietekmes uz horizontālo principu, projekta īstenotājam nav pienākums uzkrāt datus par HP VINPI rādītājiem. Vienlaikus, projekta iesniedzējs var izvēlēties īstenot HP VINPI darbības un attiecīgi uzkrāt datus par HP VINPI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36.2.4. vienlīdzība, iekļaušana, nediskriminācija un pamattiesību ievērošana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35.2.4. vienlīdzība, iekļaušana, nediskriminācija un pamattiesību ievērošana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tā pamatojums atbilst spējai to izlietot sešu mēnešu laikā. Finansējuma saņēmējam avansu var piešķirt līdz 50 procentiem no projektam piešķirtā Eiropas Reģionālā attīstības fonda finansējuma, ievērojot, ka avansu var izmaksāt vairākos maksājumos un avansa un starpposma maksājumu kopsumma nepārsniedz 90 procentus no projektam piešķirtā Eiropas Reģionālā attīstības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37.punktu nosakot, ka plānotā avansa apmērs, tā pamatojums atbilst spējai to izlietot sešu mēnešu laikā </w:t>
            </w:r>
            <w:r w:rsidR="00000000" w:rsidRPr="00000000" w:rsidDel="00000000">
              <w:rPr>
                <w:u w:val="single"/>
                <w:rtl w:val="0"/>
              </w:rPr>
              <w:t xml:space="preserve">saimnieciskā gada ietvaros,</w:t>
            </w:r>
            <w:r w:rsidR="00000000" w:rsidRPr="00000000" w:rsidDel="00000000">
              <w:rPr>
                <w:rtl w:val="0"/>
              </w:rPr>
              <w:t xml:space="preserve"> ņemot vērā, ka noteikumu projekta 14.punktā kā projekta iesniedzējs paredzēta pašvaldība vai tās izveidota iestāde vai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tā pamatojums atbilst spējai to izlietot sešu mēnešu laikā saimnieciskā gada ietvaros. Finansējuma saņēmējam avansu var piešķirt līdz 50 procentiem no projektam piešķirtā Eiropas Reģionālā attīstības fonda finansējuma, ievērojot, ka avansu var izmaksāt vairākos maksājumos un avansa un starpposma maksājumu kopsumma nepārsniedz 90 procentus no projektam piešķirtā Eiropas Reģionālā attīstības fonda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investīciju jomas pārstāvošu biedrību, nodibinājumu, nevalstisko organizāciju  iesaisti noteikumu projekta izstrādē.  Vēršam uzmanību uz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par investīcijas jomas pārstāvošas biedrības “Latvijas Ūdensapgādes un kanalizācijas uzņēmumu asociācija”, biedrības “Reģionālo attīstības centru un novadu apvienība”, biedrības “Latvijas Lielo pilsētu asociācija”, biedrības “Latvijas Pašvaldību savienība”  iesaisti. Papildus informējam, ka VARAM pēc pasākuma ieviešanas nosacījumu apstiprināšanas Ministru kabinetā sniegs informāciju par sabiedrības pārstāvju iesaisti normatīvā regulējuma izstrādē Nevalstisko organizāciju un Ministru kabineta sadarbības memoranda īstenošanas padomes sekretariātam.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“Tiesību akta projekta ietekmējamās sabiedrības grupas, ietekme uz tautsaimniecības attīstību un administratīvo slogu”  ar pēc iespējas izmērāmiem faktiski sagaidāmiem rezultātiem/rādītājiem, kas skaidri demonstrē plānoto investīciju ietekmi uz tautsaimniecību. Skaidrojam, ka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izvērtējot.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 ierobežotā pieejamā finansējuma un ņemot vērā, ka projektos to izmaksas var būtiski atšķirties no esošā sabiedrisko ūdenssaimniecības pakalpojumu sniegšanā iesaistīto tehnoloģisko iekārtu un procesu stāvokļa, pastāvošās tehnoloģijas, tās vecuma un efektivitātes un citiem aspektiem, tai skaitā plānotajiem tehnoloģiskajiem risinājumiem un to kombinācijām, nav korekti izmērāma ietekme uz makroekonomisko vidi, pienesums ekonomikas transformācijai, nozaru konkurētspējai, uzņēmējdarbības videi, nodarbinātībai, kā arī ietekme uz nozaru politikas mērķiem, Latvijas Nacionālajā attīstības plāna 2021.–2027.gadam noteiktajiem mērķiem, t.sk. prioritātes “Kvalitatīva dzīves vide un teritoriju attīstība” rīcības virziena “Daba un vide – “Zaļais kurss”” uzdevuma Nr. 281 – “Tautsaimniecības siltumnīcefekta gāzu emisiju samazināšana, izmantojot risinājumus klimata pārmaiņu mazināšanai un klimata tehnoloģiju atklājumus, un pieaugošas oglekļa dioksīda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piesaistes nodrošināšana virzībā uz klimatnoturīgu ekonomikas attīstību, mērķtiecīgi sasniedzot augstu energoefektivitāti un transporta sistēmas dekarbonizāciju”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2.1.1.6.pasākuma ietvaros plānoto investīciju papildinātību un sinerģiju ar citiem atbalsta instrumentiem, ņemot vērā, ka, piemēram, saules elektrostaciju iegāde un uzstādīšana tiek atbalstīta arī citu ES investīciju instrumentu ietvaros (piemēram, atbalsts saules enerģiju izmantojošu elektroenerģijas ražošanas tehnoloģiju iegādei un uzstādīšanai komersantiem ir pieejams arī Atveseļošanas fonda 1.2.1.2.i.1. investīcijā "Energoefektivitātes paaugstināšana uzņēmējdarbībā (ietverot pāreju uz atjaunojamo energoresursu tehnoloģiju izmantošanu siltumapgādē)".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anotāciju ar informāciju, kā plānots nodrošināt dubultfinansējuma riska kontroli, ņemot vērā, ka saturiski līdzīgas atbalstāmās darbības tiek atbalstītas arī citu ES un valsts atbalsta investīciju instrumentu ietvaros. Aicinām minēt, vai ir veikti pasākumi demarkācijas nodrošināšanai, piemēram, nodalot finansējuma saņēmēju grupas, atbalstāmās teritorijas/ objektus, vai nodalot investīciju ieviešanu citā laikā/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skaidri izsekojamu informāciju par 2.1.1.6.pasākuma ietvaros plānotā Eiropas Reģionālās attīstības fonda finansējuma dalījumu pa intervences kodiem atbilstoši ES kohēzijas politikas programmā 2021.-2027.gadam noteiktajam, lūdzam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Finanšu ministrijas rīcība esošajai informācijai 2.1.1.6.pasāuma ietvaros Eiropas Reģionālās attīstības fonda finansējums dalās starp 44 kodu "Publiskās infrastruktūras atjaunošana energoefektivitātes uzlabošanai vai energoefektivitātes pasākumi, demonstrējuma projekti un atbalsta pasākumi" 3 250 000 EUR un 48 kodu "Atjaunojamie energoresursi: saule" 3 250 000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5.3. sadaļa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anotāciju ar informāciju par 2.1.1.6.pasākuma otrās kārtas ietvaros plānoto investīciju sasaisti ar Eiropas Savienības stratēģijā Baltijas jūras reģionam (ESSBJR)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kohēzijas politikas programmā 2021.-2027.gadam 2.1.1.specifskā atbalsta mērķa apraksta sadaļā "Starpreģionālās, pārrobežu un transnacionālās darbības" ir iekļauta informācija par sasaisti ar ESSBJR. Attiecīgi aicinām vērtēt, vai minētie aspekti piemērojami 2.1.1.6.pasākuma otrajai kārtai.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izvērtējot un papildinot informāciju anotācijas 8.1.6.apakšpunktā.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24-TA-1532</w:t>
    </w:r>
    <w:r>
      <w:br/>
    </w:r>
    <w:r w:rsidR="00000000" w:rsidRPr="00000000" w:rsidDel="00000000">
      <w:rPr>
        <w:rtl w:val="0"/>
      </w:rPr>
      <w:t xml:space="preserve">03.10.2024. 13.29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24-TA-1532</w:t>
    </w:r>
    <w:r>
      <w:br/>
    </w:r>
    <w:r w:rsidR="00000000" w:rsidRPr="00000000" w:rsidDel="00000000">
      <w:rPr>
        <w:rtl w:val="0"/>
      </w:rPr>
      <w:t xml:space="preserve">03.10.2024. 13.29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Izziņa_24-TA-1532.docx</dc:title>
</cp:coreProperties>
</file>

<file path=docProps/custom.xml><?xml version="1.0" encoding="utf-8"?>
<Properties xmlns="http://schemas.openxmlformats.org/officeDocument/2006/custom-properties" xmlns:vt="http://schemas.openxmlformats.org/officeDocument/2006/docPropsVTypes"/>
</file>