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atbilstības novērtēšanu"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skaidroto, Preču un pakalpojumu drošuma likums tiks aizstāts ar Pakalpojumu drošuma likumu, tajā saglabājot tikai tās normas, kas attiecināmas uz pakalpojumu drošumu. Ar šiem grozījumiem Preču un pakalpojumu drošuma likuma 17. panta piektā daļa tiek iekļauta likuma Par atbilstības novērtēšanu 19. panta devītajā daļā, vienlaikus tajā iekļaujot arī Likuma 19. panta svītrotās otrās daļas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funkciju veikšanā Veselības inspekcija piemēro arī Preču un pakalpojumu drošuma likuma 17. panta </w:t>
            </w:r>
            <w:r w:rsidR="00000000" w:rsidRPr="00000000" w:rsidDel="00000000">
              <w:rPr>
                <w:b w:val="1"/>
                <w:rtl w:val="0"/>
              </w:rPr>
              <w:t xml:space="preserve">ceturto</w:t>
            </w:r>
            <w:r w:rsidR="00000000" w:rsidRPr="00000000" w:rsidDel="00000000">
              <w:rPr>
                <w:rtl w:val="0"/>
              </w:rPr>
              <w:t xml:space="preserve"> daļu, tādēļ nepieciešams arī šo daļu </w:t>
            </w:r>
            <w:r w:rsidR="00000000" w:rsidRPr="00000000" w:rsidDel="00000000">
              <w:rPr>
                <w:u w:val="single"/>
                <w:rtl w:val="0"/>
              </w:rPr>
              <w:t xml:space="preserve">pārcelt uz likumu Par atbilstības novērtēšanu</w:t>
            </w:r>
            <w:r w:rsidR="00000000" w:rsidRPr="00000000" w:rsidDel="00000000">
              <w:rPr>
                <w:rtl w:val="0"/>
              </w:rPr>
              <w:t xml:space="preserve">. Būtu nesamērīgi par Preču un pakalpojumu drošuma likuma 17. panta ceturtajā daļā norādīto pārkāpumu piemērot 17. panta piektajā daļā paredzētās sankcijas, kas ir ievērojami lielākas. Tādēļ nevar sankcijām par tādu kosmētikas līdzekļu laišanu tirgū, piedāvāšanu vai pārdošanu, kuriem beidzies derīguma termiņš vai kuriem nav normatīvajos aktos noteiktajā kārtībā norādīts derīguma termiņš, piemērot 19.panta devīto daļu par drošuma vai būtiskajām prasībām. Lūdzam 19.pantu papildināt ar vēl vienu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tādu kosmētikas līdzekļu laišanu tirgū, piedāvāšanu vai pārdošanu, kuriem beidzies derīguma termiņš vai kuriem nav normatīvajos aktos noteiktajā kārtībā norādīts derīguma termiņš, piemēro naudas sodu fiziskajai personai no septiņām līdz septiņdesmit naudas soda vienībām, bet juridiskajai personai — no 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papildināts ar jaunu Likuma 19.panta vienpadsmito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atbilstības novērtēšanu"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1996, 18. nr.; 1999, 23. nr.; 2002, 23. nr.; 2004, 9. nr.; 2008, 24. nr.; 2009, 14. nr.; Latvijas Vēstnesis, 2010, 43. nr.; 2013, 106. nr.; 2019, 219. nr.; 2023, 42. nr.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ievaddaļu atbilstoši Ministru kabineta 2009. gada 3. februāra noteikumu Nr. 108 "Normatīvo aktu projektu sagatavošanas noteikumi" 68.2.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atbilstības novērtēšanu" (Latvijas Republikas Saeimas un Ministru Kabineta Ziņotājs, 1996, 18. nr.; 1999, 23. nr.; 2002, 23. nr.; 2004, 9. nr.; 2008, 24. nr.; 2009, 14. nr.; Latvijas Vēstnesis, 2010, 43. nr.; 2013, 106. nr.; 2019, 219. nr.; 2023, 42. nr. )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ar vārdiem "un preču vispārēju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izdarāmo grozījumu redakciju, norādot, kur attiecīgā likuma vienība papildināma ar jauno tekstu, atbilstoši Ministru kabineta 2009. gada 3. februāra noteikumu Nr. 108 "Normatīvo aktu projektu sagatavošanas noteikumi" 79.3.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pēc vārdiem “preču piekļūstamības prasībām” ar vārdiem "un preču vispārēju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ar vārdiem "un preču vispārēju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kur tieši (teikuma daļa, vārds u.tml.) ir nepieciešams papildināt 4. panta otro daļu, t.i., pēc kura vārda (vārdiem) ir nepieciešams ietvert papildinājumu "un preču vispārēju drošumu".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pēc vārdiem “preču piekļūstamības prasībām” ar vārdiem "un preču vispārēju drošumu".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izdarāmo grozījumu redakciju, norādot, kā attiecīgā likuma vienība grozāma, atbilstoši Ministru kabineta 2009. gada 3. februāra noteikumu Nr. 108 "Normatīvo aktu projektu sagatavošanas noteikumi" 79.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"regulai Nr.2019/1020” ar vārdiem un skaitļiem "un Eiropas Parlamenta un Padomes Regulai (ES) 2023/988 par ražojumu vispārēju drošumu, ar ko groza Eiropas Parlamenta un Padomes Regulu (ES) Nr.1025/2012 un Eiropas Parlamenta un Padomes Direktīvu (ES) 2020/1828 un atceļ Eiropas Parlamenta un Padomes Direktīvu 2001/95/EK un Padomes Direktīvu 87/357/EEK (turpmāk - regula Nr.2023/988)";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5</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Neskarot citus tiesiskās aizsardzības līdzekļus, saimnieciskās darbības veicējs, kurš organizē preces atsaukšanu no gala lietotājiem, nodrošina arī patērētāju tiesību īstenošanu atbilstoši patērētāju tiesību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pantā ietvertā norāde ir deklaratīva un no tās neizriet konkrēti attiecīgā subjekta pienākumi iepretim patērētājiem (tostarp no šīs norādes neizriet, vai saimnieciskās darbības veicēja pienākumi izriet no regulas vai nacionālajiem normatīvajiem aktiem), tādēļ lūdzam izvērtēt un nepieciešamības gadījumā izslēgt minēto pantu vai precizēt to, likumprojekta anotācijā (5.4. sadaļas 1. tabulā) skaidrojot, kā paredzēts novērst šķēršļus Eiropas Parlamenta un Padomes Regulas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2023/988), 37. pantā ietverto prasību tiešai piemērošanai (piem., regulā paredzēti konkrēti tiesiskās aizsardzības līdzekļi, kuri uzņēmējam jāpiedāvā, kas pirmšķietami pilnībā neizriet no nacionālajiem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ietvertā atsauce ir attiecināma uz Patērētāju tiesību aizsardzības likumu. Šobrīd Saeimā tiek izskatīti grozījumi Patērētāju tiesību aizsardzības likumā, kurā ietverts jauns 29.</w:t>
            </w:r>
            <w:r w:rsidR="00000000" w:rsidRPr="00000000" w:rsidDel="00000000">
              <w:rPr>
                <w:vertAlign w:val="superscript"/>
                <w:rtl w:val="0"/>
              </w:rPr>
              <w:t xml:space="preserve">2</w:t>
            </w:r>
            <w:r w:rsidR="00000000" w:rsidRPr="00000000" w:rsidDel="00000000">
              <w:rPr>
                <w:rtl w:val="0"/>
              </w:rPr>
              <w:t xml:space="preserve"> pants "Patērētāja tiesības nedrošas preces atsaukuma gadījumā" ar atsauci uz regulu Nr.2023/988. Likumā tiek ietverta norāde uz patērētāja tiesībām nedrošas preces atsaukuma gadījumā saskaņā ar Regulas 37.pantu un tiek paredzēts, kādā kārtībā izskata strīdus nedrošu preču atsaukuma gadījumos, kas ir jānodrošina saskaņā ar Regulas 34.pantu.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ņemot vērā, ka tirgus uzraudzības iestādes attiecībā uz preču uzraudzību ir vairākas atbilstoši savai kompetencei, tāpēc ietverta atsauce "atbilstoši patērētāju tiesību aizsardzību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5</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Neskarot citus tiesiskās aizsardzības līdzekļus, saimnieciskās darbības veicējs, kurš organizē nedrošas preces atsaukšanu no gala lietotājiem, nodrošina arī patērētāju tiesību īstenošanu atbilstoši patērētāju tiesību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9.</w:t>
            </w:r>
            <w:r w:rsidR="00000000" w:rsidRPr="00000000" w:rsidDel="00000000">
              <w:rPr>
                <w:vertAlign w:val="superscript"/>
                <w:rtl w:val="0"/>
              </w:rPr>
              <w:t xml:space="preserve">11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apmaiņai par precēm, kas rada nopietnu risku, tirgus uzraudzības iestādes izmanto regulas Nr. 2023/988 25. pantā minēto ātrās brīdināšanas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regulā Nr.2023/988 noteiktās vienotā sadarbības biroja un ātrās brīdināšanas sistēmas nacionālā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5.pants paredz papildināt likumu ar 9</w:t>
            </w:r>
            <w:r w:rsidR="00000000" w:rsidRPr="00000000" w:rsidDel="00000000">
              <w:rPr>
                <w:vertAlign w:val="superscript"/>
                <w:rtl w:val="0"/>
              </w:rPr>
              <w:t xml:space="preserve">11</w:t>
            </w:r>
            <w:r w:rsidR="00000000" w:rsidRPr="00000000" w:rsidDel="00000000">
              <w:rPr>
                <w:rtl w:val="0"/>
              </w:rPr>
              <w:t xml:space="preserve">. pantu, kura trešajā daļā tiek lietots no Preču un pakalpojumu drošuma likuma pārņemts apzīmējums „laišana apgrozībā”, kura nozīme kā terminam nav definēta. Tā kā tirgus uzraudzības iestādēm, tostarp Veselības inspekcijai, ar šo normu tiks noteikts pienākums informēt Patērētāju tiesību aizsardzības centru par veiktajiem pasākumiem, kas ierobežo vai liedz preču laišanu apgrozībā, tad ir nepieciešams, lai būtu skaidra šī termina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Preču un pakalpojumu drošuma likums zaudēs spēku un preču drošumu turpmāk regulēs regula Nr.2023/988, tad būtu jāizmanto regulā definēti termini. Pašlaik nav skaidrs, kura regulas termina ekvivalents ir domāts ar apzīmējumu „laist apgrozībā”. Līdz ar to uzraudzības iestādei nav skaidrs vai pienākums informēt attiecas uz veiktajiem pasākumiem ar kuriem ierobežo vai liedz preci “darīt pieejamu tirgū” vai preci „laist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tirgus uzraudzību izmantot likumā terminus, kas definēti regulā Nr.2023/988 vai regulā (ES) 2019/1020 par tirgus uzraudzību un produktu atbilstību. Ja tiek izmantoti termini, kas nav definēti regulās, tie ir jādefinē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“preču laišana apgrozībā” aizstāts ar terminu "preces piedāvāšana tirgū", kas saskaņā ar likuma “Par atbilstības novērtēšanu” 1. panta otrajā daļā noteikto atbilst regulas Nr.  2019/1020 3. pantā lietotajam terminam "darīt pieejamu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9.</w:t>
            </w:r>
            <w:r w:rsidR="00000000" w:rsidRPr="00000000" w:rsidDel="00000000">
              <w:rPr>
                <w:vertAlign w:val="superscript"/>
                <w:rtl w:val="0"/>
              </w:rPr>
              <w:t xml:space="preserve">11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apmaiņai par precēm, kas rada nopietnu risku, tirgus uzraudzības iestādes izmanto regulas Nr. 2023/988 25. pantā minēto ātrās brīdināšanas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regulā Nr.2023/988 noteiktās vienotā sadarbības biroja un ātrās brīdināšanas sistēmas nacionālā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vienotā sadarbības biroja funkcijas pirmšķietami nav noteiktas Eiropas Parlamenta un Padomes Regulā (ES) 2023/988 par ražojumu vispārēju drošumu, ar ko groza Eiropas Parlamenta un Padomes Regulu (ES) Nr. 1025.1025/2012 un Eiropas Parlamenta un Padomes Direktīvu (ES) 2020/1828 un atceļ Eiropas Parlamenta un Padomes Direktīvu 2001/95/EK un Padomes Direktīvu 87/357/EEK, bet gan Eiropas Parlamenta un Padomes 2017. gada 12. decembra Regulā (ES) 2017/2394 par sadarbību starp valstu iestādēm, kas atbild par tiesību aktu izpildi patērētāju tiesību aizsardzības jomā, un ar ko atceļ Regulu (EK) Nr. 2006/2004 (turpmāk - regula Nr. 2017/2394), tādēļ lūdzam nepieciešamības gadījumā atbilstoši precizēt (papildināt) likumprojekta 5. pantu, attiecīgā gadījumā arī skaidrojot regulas Nr. 2017/2394 prasību ieviešanu likumprojekta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izraudzīties vienoto sadarbības biroju tirgus uzraudzības vajadzībām un vienotas valsts nostājas pārstāvēšanai izriet no regulas Nr.2023/988 23. panta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veiktajiem grozījumiem likuma "Par atbilstības novērtēšanu" 19. panta sestajā daļā, Tieslietu ministrija secina, ka tās š.g. 25. septembra atzinumā norādītais </w:t>
            </w:r>
            <w:r w:rsidR="00000000" w:rsidRPr="00000000" w:rsidDel="00000000">
              <w:rPr>
                <w:b w:val="1"/>
                <w:rtl w:val="0"/>
              </w:rPr>
              <w:t xml:space="preserve">iebildums tomēr nav ņemts vērā</w:t>
            </w:r>
            <w:r w:rsidR="00000000" w:rsidRPr="00000000" w:rsidDel="00000000">
              <w:rPr>
                <w:rtl w:val="0"/>
              </w:rPr>
              <w:t xml:space="preserve">, tādēļ uzturam minēto iebildumu un atkārtoti lūdzam precizēt administratīvo pārkāpumu formulējumu,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visus nodaļā noteiktos administratīvos pārkāpumus, skaidri nosakot administratīvā pārkāpuma pazīmes. Proti, par kādu darbību vai bezdarbību personai var tikt piemērota administratīvā atbildība. Jebkurai personai, izlasot administratīvo pārkāpumu, būtu jāspēj saprast, par kādu tieši darbību vai bezdarbību tai var tikt piemērotas sodoša rakstura sankcijas. Šobrīd likumprojektā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atsauces. Ir pieļaujamas informatīvas atsauces uz regulām, bet pārkāpuma pazīmēm jābūt skaidrām arī tad, ja šo atsauci izņemtu.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piemēram, tādu pārkāpuma pazīmi  kā "par normatīvajos aktos noteikto pienākumu nepildīšanu" vai "preču aprites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normas ir blanketas normas, jo tās ietver norādi uz citos normatīvos aktos iekļautajām tiesību normām (priekšrakstiem) (sk. N</w:t>
            </w:r>
            <w:r w:rsidR="00000000" w:rsidRPr="00000000" w:rsidDel="00000000">
              <w:rPr>
                <w:i w:val="1"/>
                <w:rtl w:val="0"/>
              </w:rPr>
              <w:t xml:space="preserve">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likumprojektā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jāievēro, ka pārkāpuma saturs ir jānoteic formālajam likumdevējam. Nav pieļaujama situācija, ka pārkāpuma saturu būtībā noteiktu Ministru kabinets vai iestāde. Līdz ar to likumā jābūt precīzi un izsmeļoši noteiktām pārkāpuma pazīmēm, lai persona varētu saprast pārkāpuma būtību un paredzēt vismaz sodīšanas risku. Ja pārkāpumu konkretizē Ministru kabineta noteikumi, tad likumā jābūt ārkārtīgi precīzam pilnvarojumam (kādus jautājumus Ministru kabinets var regulēt, kādi kritēriji, vadlīnijas u. tml. tam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būtiskas nozīmes. Tāpat nav nozīmes tam, ja iepriekš izstrādājot normatīvos aktus, pārkāpumi tika aprakstīti vispārīgi un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(sal. sk. Valsts pārvaldes iekārtas likuma 10. panta 10. daļu).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administratīvo pārkāpumu formulējumi,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administratīvo pārkāpumu formulējumu,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administratīvos pārkāpumus, skaidri nosakot administratīvā pārkāpuma pazīmes. Proti, par kādu darbību vai bezdarbību personai var tikt piemērota administratīvā atbildība. Jebkurai personai, izlasot administratīvo pārkāpumu, būtu jāspēj saprast, par kādu tieši darbību vai bezdarbību tai var tikt piemērotas sodoša rakstura sankcijas. Šobrīd 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iekšējās atsauces. Ir pieļaujamas informatīvas atsauces uz regulām, bet pārkāpuma pazīmēm jābūt skaidrām arī tad, ja šo atsauci izņemtu.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piemēram, tādu pārkāpuma pazīmi  kā "par normatīvajos aktos noteikto pienākumu nepildīšanu" vai "preču aprites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normas ir blanketas normas, jo tās ietver norādi uz citos normatīvos aktos iekļautajām tiesību normām (priekšrakstiem) (</w:t>
            </w:r>
            <w:r w:rsidR="00000000" w:rsidRPr="00000000" w:rsidDel="00000000">
              <w:rPr>
                <w:i w:val="1"/>
                <w:rtl w:val="0"/>
              </w:rPr>
              <w:t xml:space="preserve">sk. Normatīvo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w:t>
            </w:r>
            <w:r w:rsidR="00000000" w:rsidRPr="00000000" w:rsidDel="00000000">
              <w:rPr>
                <w:i w:val="1"/>
                <w:rtl w:val="0"/>
              </w:rPr>
              <w:t xml:space="preserve">lat. val. – 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jāievēro, ka pārkāpuma saturs ir jānoteic formālajam likumdevējam. Nav pieļaujama situācija, ka pārkāpuma saturu būtībā noteiktu Ministru kabinets vai iestāde. Līdz ar to likumā jābūt precīzi un izsmeļoši noteiktām pārkāpuma pazīmēm, lai persona varētu saprast pārkāpuma būtību un paredzēt vismaz sodīšanas risku. Ja pārkāpumu konkretizē Ministru kabineta noteikumi, tad likumā jābūt ārkārtīgi precīzam pilnvarojumam (kādus jautājumus Ministru kabinets var regulēt, kādi kritēriji, vadlīnijas u. tml. tam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būtiskas nozīmes. Pirmkārt, valsts pārvaldei ir pienākums pastāvīgi pārbaudīt un pilnveidot normatīvo regulējumu (sal. sk. Valsts pārvaldes iekārtas likuma 10. panta 10. daļu). Otrkārt,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19.panta sestā daļa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19.pantā ir nepieciešams ieviest jaunas tiesību normas, kā arī papildināt esošās par administratīvo atbildību preču drošuma uzraudzības jomā. Attiecīgi atsevišķas normas tiek pārceltas no Preču un pakalpojumu drošuma likuma, nemainot to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jau minēts, ka 19.panta otrā daļa tiek svītrota, jo šīs daļas administratīvā pārkāpuma sastāvs tiek iekļauts 19.panta devītajā daļā. Iepriekš 19.panta devītās daļas sastāvs bija izdalīts atsevišķi divos dažādos likumos - Preču un pakalpojumu drošuma likuma 17.panta piektajā daļā un likuma “Par atbilstības novērtēšanu” 19.panta otrajā daļā, bet, tā kā plānots Preču un pakalpojumu drošuma likuma normas iekļaut likumā “Par atbilstības novērtēšanu” un šie pārkāpumi pēc būtības ir līdzīgi, tad nolemts abus apvienot vienā pantā, lai izvairītos no sadrumstalotības. Tas nozīmē, ka 19.panta jaunās devītās daļas saturs būtībā jau šobrīd pastāv un ar grozījumiem tiek mainīta tikai tā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19.panta devītās daļas redakcijas teksts nav izsmeļošs, jo par normatīvajos aktos noteiktajām drošuma, būtiskajām prasībām vai tehniskajiem parametriem neatbilstošu preču laišanu tirgū, piedāvāšanu vai pārdošanu ir atbildīgas vairākas iestādes, piemēram, Patērētāju tiesību aizsardzības centrs, Veselības inspekcija, Valsts ieņēmumu dienests, kuras ir tiesīgas savas kompetences ietvaros  piemērot administratīvos sodus. Tas nozīmē, ka nav iespējams konkrētās daļas ietvaros uzskaitīt katras iestādes kompetences attiecībā uz konkrētām precēm vai preču grupām. Vairāk informācija pieejama 2019.gada 10.oktobra likuma grozījumu anotācijā. (</w:t>
            </w:r>
            <w:r w:rsidR="00000000" w:rsidRPr="00000000" w:rsidDel="00000000">
              <w:rPr>
                <w:i w:val="1"/>
                <w:rtl w:val="0"/>
              </w:rPr>
              <w:t xml:space="preserve">Skat. Latvijas Vēstnesis, Laidiens 29.10.2019., Nr. 219, publikācijas numurs 2019/219.2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sestajā daļā ir paredzēta administratīvā atbildība par tādu preču laišanu tirgū, kurām nav veikta Regulas Nr.2023/988 9.panta 2. punktā noteiktā riska analīze. Regulā 2023/988 ir noteikta prasība pirms ražojumu laišanas tirgū ražotājam veikt iekšējo riska analīzi.  Šī prasība ir līdzvērtīga atbilstības novērtēšanas procedūras veikšanai. Līdz ar to arī soda apmērs ir pielīdzināts likuma par “Par atbilstības novērtēšanu”19.panta trešās daļas sankcijai.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septītajā daļā ir paredzēta administratīvā atbildība Par normatīvajos aktos noteikto pienākumu nepildīšanu preču atbilstības nodrošināšanai, laižot tirgū, piedāvājot vai pārdodot preci.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19.panta septītās daļas redakcijas teksts nav izsmeļošs, jo regulā Nr.2023/988 komersantiem ir noteikti daudzi jauni pienākumi, kādi iepriekš nebija noteikti. Tas lielā mērā ir saistīts ar straujo jauno tehnoloģiju ienākšanu un pieaugošo tirdzniecības apjomu tiešsaistē. Līdz ar to komersantiem ir noteikti tādi jauni pienākumi kā piemēram, izmantojot </w:t>
            </w:r>
            <w:r w:rsidR="00000000" w:rsidRPr="00000000" w:rsidDel="00000000">
              <w:rPr>
                <w:i w:val="1"/>
                <w:rtl w:val="0"/>
              </w:rPr>
              <w:t xml:space="preserve">Safety Business Gateway</w:t>
            </w:r>
            <w:r w:rsidR="00000000" w:rsidRPr="00000000" w:rsidDel="00000000">
              <w:rPr>
                <w:rtl w:val="0"/>
              </w:rPr>
              <w:t xml:space="preserve">, pašiem nekavējoties informēt to dalībvalstu tirgus uzraudzības iestādes, kurās nedrošais ražojums ir darīts pieejams tirgū. Tāpat  saimnieciskās darbības veicējiem, kuri organizē nedrošas preces atsaukšanu, ir jānodrošina tiesiskās aizsardzības līdzekļus patērētājiem. Īpaši pienākumi ir noteikti arī komersantiem tālpārdošanas gadījumos, kā arī tiešsaistes tirdzniecības vietu nodrošinātājiem. Ņemot vērā to, ka prasībām neatbilstošas, it īpaši nedrošas preces var apdraudēt cilvēku veselību un pat dzīvību, tirgus uzraudzības iestādēm ir jābūt pilnvarām paredzēt sankcijas, kuras tām jāspēj piemērot gadījumos, kad attiecīgie komersanti nesadarbojas vai nepilda savus pienākumus. Tā kā šie pienākumi ir ļoti daudzveidīgi, lai izvairītos no sadrumstalotības ir nepieciešams viena visaptveroša tiesību norma, kas aptvertu visu regulā Nr.2023/988  noteikto jauno pienākumu neizpildes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astotajā daļā ir noteikta administratīvā atbildība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19.panta astotajā daļā ir izmantota iekšējā atsauce, jo šie pārkāpumi neattiecas uz regulas Nr.2023/988 prasībām, bet uz nacionālo regulējumu ārpus regulas Nr.2023/988 tvēruma. Piemēram, gāzes baloniem, kuriem Ministru kabinets nosaka arī īpašu aprites kārtību. Šāda iekšējā atsauce bija arī uz Preču un pakalpojumu drošuma likumā un šī norma precīzi tiek pārnesta uz likumu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panta desmitajā daļā ir noteikta administratīvā atbildība par iekšējās kontroles procesu nenodrošināšanu. Šāda prasība ir noteikta gan regulā Nr.2023/988, kur katram tirdzniecības ķēdes loceklim ir noteikti konkrēti pienākumi izveidot kontroles procesu, lai nodrošinātu preču patstāvīgu atbilstību prasībām, gan arī citās harmonizētajās jomās, kurām ir savs speciālais regulējums. Patērētāju tiesību aizsardzības centrs kopš 2018.gada ir ieviesis praksi tirgus uzraudzībā veikt sistēmpārbaudes, kurās uzņēmumiem  tiek sniegta konsultācija, kā izveidot labi organizētas iekšējās kontroles sistēmas, kas nodrošinātu prasību izpildi uzņēmumā. Tomēr ir gadījumi, kad pēc tam tiek konstatēts, ka neraugoties uz to, ka ir bijusi šāda sadarbība un Patērētāju tiesību aizsardzības centrs ir ieguldījis lielus resursus konsultēšanā un normatīvo aktu prasību skaidrošanā, šīs kontroles sistēmas netiek nodrošinātas vai arī netiek uzturētas atbilstošā līmenī. Tā kā atsevišķiem uzņēmumiem (īpaši lielām tirdzniecības ķēdēm sistemātiski tiek konstatēts, ka tiek realizētas neatbilstošas preces, lai izvairītos no tā, ka tiek uzsākti neskaitāmi administratīvā pārkāpuma procesi un komersanti neizteiktu pārmetumus, ka Patērētāju tiesību aizsardzības centrs cenšas ierobežot un radīt šķēršļus kāda uzņēmuma darbībai, ir nepieciešams noteikt administratīvo atbildību par iekšējās kontroles procesu nenodrošināšanu. Šajā gadījumā ir paredzēta arī atbilstoša sankcija, jo sods ir paredzēts nevis par konkrētām atsevišķām neatbilstībām, bet kontroles sistēmas nenodrošināšanu kopumā, kas rada situāciju, ka tirgū sistemātiski nonāk neatbilstošas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apliecināta Regulā Nr. 2023/988 noteiktā riska analīzes veikšana, piemēro naudas sodu fiziskajai personai no piecdesmit sešām līdz simt četrdesmit naudas soda vienībām, bet juridiskajai personai — no simt četrdesmit līdz astoņsimt sešdesmit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likumprojektā administratīvā pārkāpuma sastāvu noteikšanai un citos gadījumos (sk. likumprojekta 4. pantu) nepieciešams pārrakstīt (t.i., inkorporēt likumprojekta tekstā) daļu regulas teksta, tad lūdzam sniegt atbilstošu skaidrojumu par minēto likumprojekta anotācijā, kā arī lūdzam izvērtēt un likumprojektā attiecīgā teksta daļu pārrakstīt identiski regulā noteiktajam, ievērojot arī iepriekš šajā atzinumā minēto par administratīvo pārkāpumu formulēšanu (piem., likumprojekta 8. pantā norādīts uz preču laišanu tirgū, kurām nav apliecināta Regulā Nr. 2023/988 noteiktā riska analīzes veikšana, savukārt regulā pirmšķietami nav norādīts uz riska analīzes veikšanas apliecināšanu, bet ir norādīts uz minētās analīzes veikšanu un tehniskās dokumentācijas izstrādi u.tml.),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Precizēta 19.panta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19.panta sestajā daļā ir paredzēta administratīvā atbildība par tādu preču laišanu tirgū, kurām nav veikta Regulas Nr.2023/988 9.panta 2. punktā noteiktā riska analīze. Regulā 2023/988 ir noteikta prasība pirms ražojumu laišanas tirgū ražotājam veikt iekšējo riska analīzi.  Šī prasība ir līdzvērtīga atbilstības novērtēšanas procedūras veikšanai. Līdz ar to arī soda apmērs ir pielīdzināts likuma par “Par atbilstības novērtēšanu”19.panta trešās daļas sankcijai.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kosmētikas līdzekļu laišanu tirgū, piedāvāšanu vai pārdošanu, ja nav norādīts vai ir beidzies tā derīguma termiņš, piemēro naudas sodu fiziskajai personai no septiņām līdz septiņdesmit naudas soda vienībām, bet juridiskajai personai — no desmit līdz simt četrdesmit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normatīvajos aktos noteikto pienākumu nepildīšanu preču atbilstības nodrošināšanai, laižot tirgū, piedāvājot vai pārdodot preci, piemēro naudas sodu fiziskajai personai līdz simt četrdesmit naudas soda vienībām, bet juridiskajai personai — no 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galvenokārt ir noteiktas prasības precei, taču ir arī atsevišķas būtiskas prasības attiecībā uz aprites kārtību, tādēļ ir nepieciešams papildināt 19. panta septīto daļu, lai sankcijas varētu attiecināt arī preču aprites kārtības neievērošanas gadījumā.Lūdzam norādīt arī  minimālo naudas soda vienību, ko piemēro fiziskai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normatīvajos aktos noteikto pienākumu nepildīšanu preču atbilstības nodrošināšanai, kā arī preču aprites kārtības neievērošanu, laižot tirgū, piedāvājot vai pārdodot preci, piemēro naudas sodu fiziskajai personai no četrpadsmit līdz simt četrdesmit naudas soda vienībām, bet juridiskajai personai – no četrdesmit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prasības attiecībā uz aprites kārtību ir paredzētas likuma 19.panta astotajā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gāzes balonu laišanu tirgū, piedāvāšanu vai pārdošanu, neveicot tiem tehnisko novērtējumu, piemēro naudas sodu fiziskajai personai no desmit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 piemēro naudas sodu fiziskajai personai līdz simt četrdesmit naudas soda vienībām, bet juridiskajai personai — no 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minimālo naudas soda vienību fiziskai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 piemēro naudas sodu fiziskajai personai no desmit līdz simt četrdesmit naudas soda vienībām, bet juridiskajai personai — no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19.panta astotā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tādu preču laišanu tirgū, kurām nav veikta riska analīze un izstrādāta tehniskā dokumentācija preces drošuma novērtēšanai saskaņā ar regulas Nr.2023/988 9. panta 2. punktu, piemēro naudas sodu fiziskajai personai no piecdesmit sešām līdz simt četrdesmit naudas soda vienībām, bet juridiskajai personai — no simt četrdesmit līdz astoņsimt sešdesmit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normatīvajos aktos noteiktajām drošuma, būtiskajām prasībām vai tehniskajiem parametriem neatbilstošu preču laišanu tirgū, piedāvāšanu vai pārdošanu piemēro naudas sodu fiziskajai personai no septiņām līdz simt četrdesmit naudas soda vienībām, bet juridiskajai personai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devītajā daļā attiecībā uz fizisku personu ir noteikts, ka minimālais naudas soda slieksnis ir septiņas naudas soda vienības, taču, Veselības ministrijas ieskatā, šāds pārkāpums ir nozīmīgs un minimālajam naudas sodam ir jābūt 14 vienībām, kā tas bija Likuma 19. panta otrajā daļā, kura ar šo likumprojektu ir izslēgta.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Neveiklu formulējumu “drošuma, būtiskajām prasībām vai tehniskajiem parametriem”, lai tas būtu nepārprotamā un viegli uztveramā veidā, aicinām izteikt šādi: “drošuma vai būtiskajām prasībām, vai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normatīvajos aktos noteiktajām drošuma vai būtiskajām prasībām, vai tehniskajiem parametriem neatbilstošu preču laišanu tirgū, piedāvāšanu vai pārdošanu piemēro naudas sodu fiziskajai personai no četrpadsmit līdz simt četrdesmit naudas soda vienībām, bet juridiskajai personai — no piecdesmit sešām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19.panta devītā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šā likuma 4. panta otrajā daļā minētā normatīvajā aktā vai tieši piemērojamā Eiropas Savienības tiesību aktā noteikta pienākuma nodrošināt preču atbilstību noteiktām prasībām nepildīšanu vai preču aprites kārtības neievērošanu, piemēro naudas sodu fiziskajai personai no četrpadsmit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no četrdesmit līdz četrsimt naudas soda vienībām, bet juridiskajai personai — no simt četrdesmit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"sistemātiskas" nozīmi likumprojekta izpratnē. Vēršam uzmanību, ka minētais termins nav ietverts likumā "Par atbilstības novērtēšanu" un nav paskaidrots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preču laišanu tirgū, piedāvāšanu vai pārdošanu, ja tās neatbilst šā likuma 4. panta otrajā daļā minētā normatīvajā aktā vai tieši piemērojamā Eiropas Savienības tiesību aktā noteiktajām drošuma vai būtiskajām prasībām, vai tehniskajiem parametriem, piemēro naudas sodu fiziskajai personai no četrpadsmit līdz simt četrdesmit naudas soda vienībām, bet juridiskajai personai — no piecdesmit sešām līdz divtūkstoš astoņsimt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līdz četrsimt naudas soda vienībām, bet juridiskajai personai — no simt četrdesmit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minimālo naudas soda vienību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naudas sods fiziskām personām 19. panta desmitajā daļā ir nosakāms 40 naudas soda vienību apmērā, jo normā tiek uzsvērtas sistemātiskas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no četrdesmit līdz četrsimt naudas soda vienībām, bet juridiskajai personai — no simt četrdesmit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19.panta desmitā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preču laišanu tirgū, piedāvāšanu vai pārdošanu, ja tās neatbilst šā likuma 4. panta otrajā daļā minētā normatīvajā aktā vai tieši piemērojamā Eiropas Savienības tiesību aktā noteiktajām drošuma vai būtiskajām prasībām, vai tehniskajiem parametriem, piemēro naudas sodu fiziskajai personai no četrpadsmit līdz simt četrdesmit naudas soda vienībām, bet juridiskajai personai — no piecdesmit sešām līdz divtūkstoš astoņsimt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secina, ka tās 2024. gada 25. septembra un 2024. gada 20. decembra atzinumā norādītais iebildums tikai daļēji ņemts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 pārkāpumu formulējumus, skaidri nosakot administratīvā pārkāpuma pazīmes. Piemēram, likuma 19. panta ceturtajā daļā ir noteikts, ka "</w:t>
            </w:r>
            <w:r w:rsidR="00000000" w:rsidRPr="00000000" w:rsidDel="00000000">
              <w:rPr>
                <w:i w:val="1"/>
                <w:rtl w:val="0"/>
              </w:rPr>
              <w:t xml:space="preserve">par tādu naftas produktu, to aizstājējproduktu un komponentu un alkoholisko dzērienu piedāvāšanu vai pārdošanu, kuri neatbilst </w:t>
            </w:r>
            <w:r w:rsidR="00000000" w:rsidRPr="00000000" w:rsidDel="00000000">
              <w:rPr>
                <w:b w:val="1"/>
                <w:i w:val="1"/>
                <w:rtl w:val="0"/>
              </w:rPr>
              <w:t xml:space="preserve">normatīvajos aktos noteiktajām prasībām</w:t>
            </w:r>
            <w:r w:rsidR="00000000" w:rsidRPr="00000000" w:rsidDel="00000000">
              <w:rPr>
                <w:i w:val="1"/>
                <w:rtl w:val="0"/>
              </w:rPr>
              <w:t xml:space="preserve">, piemēro naudas sodu juridiskajai personai no astoņdesmit sešām līdz astoņsimt sešdesmit naudas soda vienībām". </w:t>
            </w:r>
            <w:r w:rsidR="00000000" w:rsidRPr="00000000" w:rsidDel="00000000">
              <w:rPr>
                <w:rtl w:val="0"/>
              </w:rPr>
              <w:t xml:space="preserve"> Proti, par  kādu normatīvo aktu prasību un kuru tiešu prasību pārkāpšanu  personai var tikt piemērota administratīvā atbildība. Līdzīgs neskaidrs formulējums ir ietverts 19. panta piektajā daļā. Proti, pantā ir norādīts, ka "</w:t>
            </w:r>
            <w:r w:rsidR="00000000" w:rsidRPr="00000000" w:rsidDel="00000000">
              <w:rPr>
                <w:i w:val="1"/>
                <w:rtl w:val="0"/>
              </w:rPr>
              <w:t xml:space="preserve">p</w:t>
            </w:r>
            <w:r w:rsidR="00000000" w:rsidRPr="00000000" w:rsidDel="00000000">
              <w:rPr>
                <w:i w:val="1"/>
                <w:rtl w:val="0"/>
              </w:rPr>
              <w:t xml:space="preserve">ar naftas produktu, to aizstājējproduktu un komponentu nenodrošināšanu ar atbilstības sertifikātu, atbilstības apliecinājumu, testēšanas pārskatu </w:t>
            </w:r>
            <w:r w:rsidR="00000000" w:rsidRPr="00000000" w:rsidDel="00000000">
              <w:rPr>
                <w:b w:val="1"/>
                <w:i w:val="1"/>
                <w:rtl w:val="0"/>
              </w:rPr>
              <w:t xml:space="preserve">vai citu normatīvajos aktos noteiktu dokumentu, kas apliecina šo produktu atbilstību normatīvo aktu prasībām</w:t>
            </w:r>
            <w:r w:rsidR="00000000" w:rsidRPr="00000000" w:rsidDel="00000000">
              <w:rPr>
                <w:i w:val="1"/>
                <w:rtl w:val="0"/>
              </w:rPr>
              <w:t xml:space="preserve">, vai naftas produktu, to aizstājējproduktu un komponentu piedāvāšanu vai pārdošanu bez šiem dokumentiem piemēro naudas sodu juridiskajai personai no simt četrdesmit līdz tūkstoš četrsimt divdesmit naudas soda vienībām"</w:t>
            </w:r>
            <w:r w:rsidR="00000000" w:rsidRPr="00000000" w:rsidDel="00000000">
              <w:rPr>
                <w:rtl w:val="0"/>
              </w:rPr>
              <w:t xml:space="preserve">. Jebkurai personai, izlasot administratīvo pārkāpumu, būtu jāspēj saprast, par kādu tieši darbību vai bezdarbību tai var tikt piemērotas sodoša rakstura sankcijas. Šobrīd likumā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formulējot pārkāpuma pazīmes, nav izmantojamas atsauces uz grozāmo likumu vai citiem normatīvajiem aktiem. Vienīgais izņēmums ir informējošas atsauces uz tieši piemērojamām ES tiesību aktu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ceturtajai un piektajai daļai nav saistības ar regulu Nr.2023/988, kuras ieviešanas nolūkā tiek izstrādāti šie likuma grozījumi. Turklāt minētās normas skar citu ministriju un nevis Ekonomikas ministrijas kompetenci, jo administratīvā pārkāpuma procesu par tajās minētajiem pārkāpumiem veic Valsts ieņēmumu dienests un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 pantā noteikt Veselības inspekcijas kompetenci veikt administratīvā pārkāpuma procesu par 19. panta desmitajā daļā minētajiem pārkāpumiem, jo Veselības inspekcija vērtē arī kosmētikas ražotāju labo ražošanas praksi, kas ietver iekšējās kontroles procesu nodrošināšanas pienākumu. Līdz ar to  nepieciešams 20. panta pirmajā daļā ietvert administratīvā pārkāpuma procesu arī par šā likuma 19. panta desmitajā daļā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nav nepieciešams 20. pantu papildināt ar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19. panta pirmajā, otrajā, trešajā, sestajā, septītajā, astotajā, devītajā un desmitajā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Veselības inspekcijas kompetence par 19.panta desmitās daļas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19.pants ir papildināts arī ar vienpadsmito daļu, ar kuru Veselības ministrijas lūdza papildināt pantu par tādu kosmētikas līdzekļu laišanu tirgū, piedāvāšanu vai pārdošanu, kuriem beidzies derīguma termiņš vai kuriem nav normatīvajos aktos noteiktajā kārtībā norādīts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ministrijai kompetence noteikta arī 19.panta vienpadsmitajā daļā, attiecīgi precizēta 20.panta pirmā daļa, nosakot, ka  likuma 19. panta pirmajā, otrajā, trešajā, sestajā, septītajā, astotajā, devītajā un desmitajā daļā minētajiem pārkāpumiem veic Patērētāju tiesību aizsardzības centrs un Veselības inspekcija. Savukārt 20.panta ceturtajā daļā noteikta Veselības inspekcijas kompetence par likuma 19.panta vienpadsmito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izslēgt vārdu “otrajā” un vārdus “un Veselības inspekcija”, bet vārdus "un trešajā" aizstāt ar vārdiem "trešajā, septītajā, astotajā, devītajā, desmitajā un vienpadsmitajā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pirmajā daļā izslēgt vārdus “otrajā” un vārdus "un trešajā" aizstāt ar vārdiem "trešajā, sestajā, septītajā, astotajā, devītajā un desmitajā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9. pantā pirmais teikums atkārtojas ( ir iekopēts) divas reizes, tādēļ lūdzam novērst tehnisko neprecizitāti, atbilstoši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liekais teikums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pirmajā daļā vārdus "un trešajā" aizstāt ar vārdiem "trešajā, sestajā, septītajā, astotajā un devītajā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8. pantam no likuma ir plānots izslēgt 19. panta otro daļu, likumprojekta 9. panta pirmo teikumu pēc vārdiem "pirmajā daļā" ir nepieciešams papildināt ar vārdiem  "izslēgt vārdu "otrajā"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9.panta pirmais teikums un attiecīgi likuma 20.panta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veikta riska analīze un izstrādāta tehniskā dokumentācija preces drošuma novērtēšanai saskaņā ar regulas Nr.2023/988 9. panta 2. punktu, piemēro naudas sodu fiziskajai personai no piecdesmit sešām līdz simt četrdesmit naudas soda vienībām, bet juridiskajai personai — no simt četrdesmit līdz astoņsimt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iepriekšējos atzinumos izteiktais iebildums tomēr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iepriekšējos atzinumos minēto, vēršam uzmanību, ka Eiropas Parlamenta un Padomes 2023. gada 10. maija Regulas (ES) 2023/988 par ražojumu vispārēju drošumu, ar ko groza Eiropas Parlamenta un Padomes Regulu (ES) Nr.1025/2012 un Eiropas Parlamenta un Padomes Direktīvu (ES) 2020/1828 un atceļ Eiropas Parlamenta un Padomes Direktīvu 2001/95/EK un Padomes Direktīvu 87/357/EEK (turpmāk - regula Nr. 2023/988), 9. panta 2. punkts ietver ne tikai ražotāja pienākumu veikt riska analīzi, bet arī minētās analīzes saturu. Proti, "...ražotāji veic iekšējo riska analīzi un izstrādā tehnisko dokumentāciju, kurā </w:t>
            </w:r>
            <w:r w:rsidR="00000000" w:rsidRPr="00000000" w:rsidDel="00000000">
              <w:rPr>
                <w:b w:val="1"/>
                <w:rtl w:val="0"/>
              </w:rPr>
              <w:t xml:space="preserve">ietverts vismaz vispārīgs apraksts par ražojumu un tā būtiskākajiem raksturlielumiem, kas ir svarīgi ražojuma drošuma novērtēšanai.</w:t>
            </w:r>
            <w:r w:rsidR="00000000" w:rsidRPr="00000000" w:rsidDel="00000000">
              <w:rPr>
                <w:rtl w:val="0"/>
              </w:rPr>
              <w:t xml:space="preserve">.".</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jebkurai personai, izlasot administratīvo pārkāpumu, būtu jāspēj saprast, par kādu tieši darbību vai bezdarbību tai var tikt piemērotas sodoša rakstura sankcijas. Ievērojot minēto,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Tieslietu ministriju 09.04.2025 sanāksmē par redakcionālu risinājumu, mainot arī 19. panta strukturālo izkārtojumu. Redakciju saskaņojums ar TM un VM (kuru arī skar izmaiņas) veikts e-pastā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kosmētikas līdzekļu laišanu tirgū, piedāvāšanu vai pārdošanu, ja nav norādīts vai ir beidzies tā derīguma termiņš, piemēro naudas sodu fiziskajai personai no septiņām līdz septiņdesmit naudas soda vienībām, bet juridiskajai personai — no desmit līdz simt četrdesmit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veikta regulas Nr.2023/988 9. panta 2. punktā noteiktā riska analīze, piemēro naudas sodu fiziskajai personai no piecdesmit sešām līdz simt četrdesmit naudas soda vienībām, bet juridiskajai personai — no simt četrdesmit līdz astoņsimt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Pārkāpuma formulējums joprojām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w:t>
            </w:r>
            <w:r w:rsidR="00000000" w:rsidRPr="00000000" w:rsidDel="00000000">
              <w:rPr>
                <w:b w:val="1"/>
                <w:rtl w:val="0"/>
              </w:rPr>
              <w:t xml:space="preserve"> "</w:t>
            </w:r>
            <w:r w:rsidR="00000000" w:rsidRPr="00000000" w:rsidDel="00000000">
              <w:rPr>
                <w:rtl w:val="0"/>
              </w:rPr>
              <w:t xml:space="preserve">(6) </w:t>
            </w:r>
            <w:r w:rsidR="00000000" w:rsidRPr="00000000" w:rsidDel="00000000">
              <w:rPr>
                <w:i w:val="1"/>
                <w:rtl w:val="0"/>
              </w:rPr>
              <w:t xml:space="preserve">Par tādu preču laišanu tirgū, kurām nav veikta regulas Nr.2023/988 9. panta 2. punktā </w:t>
            </w:r>
            <w:r w:rsidR="00000000" w:rsidRPr="00000000" w:rsidDel="00000000">
              <w:rPr>
                <w:b w:val="1"/>
                <w:i w:val="1"/>
                <w:rtl w:val="0"/>
              </w:rPr>
              <w:t xml:space="preserve">noteiktā riska analīze</w:t>
            </w:r>
            <w:r w:rsidR="00000000" w:rsidRPr="00000000" w:rsidDel="00000000">
              <w:rPr>
                <w:i w:val="1"/>
                <w:rtl w:val="0"/>
              </w:rPr>
              <w:t xml:space="preserve">, piemēro naudas sodu fiziskajai personai no piecdesmit sešām līdz simt četrdesmit naudas soda vienībām, bet juridiskajai personai — no simt četrdesmit līdz astoņsimt sešdesmit naudas soda vienībām</w:t>
            </w:r>
            <w:r w:rsidR="00000000" w:rsidRPr="00000000" w:rsidDel="00000000">
              <w:rPr>
                <w:b w:val="1"/>
                <w:i w:val="1"/>
                <w:rtl w:val="0"/>
              </w:rPr>
              <w:t xml:space="preserve">.</w:t>
            </w:r>
            <w:r w:rsidR="00000000" w:rsidRPr="00000000" w:rsidDel="00000000">
              <w:rPr>
                <w:b w:val="1"/>
                <w:rtl w:val="0"/>
              </w:rPr>
              <w:t xml:space="preserve">".</w:t>
            </w:r>
            <w:r w:rsidR="00000000" w:rsidRPr="00000000" w:rsidDel="00000000">
              <w:rPr>
                <w:rtl w:val="0"/>
              </w:rPr>
              <w:t xml:space="preserve"> Lūdzam pēc iespējas izvērtāk aprakstīt pantā minēto riska analīzi, lai ikvienai personai būtu skaidrs par ko tā var tikt sodīta.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kosmētikas līdzekļu laišanu tirgū, piedāvāšanu vai pārdošanu, ja nav norādīts vai ir beidzies tā derīguma termiņš, piemēro naudas sodu fiziskajai personai no septiņām līdz septiņdesmit naudas soda vienībām, bet juridiskajai personai — no desmit līdz simt četrdesmit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tāda pienākuma nodrošināt preču atbilstību noteiktām prasībām nepildīšanu, laižot tirgū, piedāvājot vai pārdodot preci, kas noteikts šā likuma 4. panta otrajā daļā minētā normatīvajā aktā vai Eiropas Savienības tiesību aktā, pieļaujot varbūtību, ka radīsies apdraudējums, kurš izraisīs kaitējumu, piemēro naudas sodu fiziskajai personai no četrpadsmit līdz simt četrdesmit naudas soda vienībām, bet juridiskajai personai — no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19. panta septīto daļu aiz vārda „nepildīšanu” papildināt ar vārdiem „preču izplatīšanas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sniegt skaidrojumu par jaunu nosacījumu noteikšanu 19. pantā attiecībā uz sodu piemērošanu par administratīvo pārkāpumu, salīdzinājumā ar iepriekšējo redakciju. Vai no precizētās redakcijas izriet, ka soda piemērošanai kontrolējošai iestādei  ir jānovērtē vai neatbilstība „rada risku par apdraudējumu, kurš izraisīs kaitējumu” un iestāde nevar piemērot sodu par konstatēto neatbilstību prasībām bez šāda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19. panta septītā daļa ar vārdiem "vai preču aprites kārtības neievērošanu", kā arī papildināta anotācija par tirgus uzraudzības iestāžu riska vērtējumu, piemērojot administratīvo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gāzes balonu laišanu tirgū, piedāvāšanu vai pārdošanu, neveicot tiem tehnisko novērtējumu, piemēro naudas sodu fiziskajai personai no desmit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tāda pienākuma nodrošināt preču atbilstību noteiktām prasībām nepildīšanu, laižot tirgū, piedāvājot vai pārdodot preci, kas noteikts šā likuma 4. panta otrajā daļā minētā normatīvajā aktā vai Eiropas Savienības tiesību aktā, pieļaujot varbūtību, ka radīsies apdraudējums, kurš izraisīs kaitējumu, piemēro naudas sodu fiziskajai personai no četrpadsmit līdz simt četrdesmit naudas soda vienībām, bet juridiskajai personai — no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normatīvo aktu pamattekstā atsauces pieļaujams izdarīt vienīgi uz tieši piemērojamiem Eiropas Savienības tiesību aktiem (piemēram, regulām), lūdzam izvērtēt un likumprojekta 9. pantā ietvertās atsauces uz Eiropas Savienības tiesību aktu aizstāt ar atsaucēm uz tieši piemērojamu Eiropas Savienības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Eiropas Savienības tiesību aktiem aizstāta ar atsauci uz tieši piemērojamiem Eiropas Savienības tiesību aktiem (regulām).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gāzes balonu laišanu tirgū, piedāvāšanu vai pārdošanu, neveicot tiem tehnisko novērtējumu, piemēro naudas sodu fiziskajai personai no desmit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gāzes balonu laišanu tirgū, piedāvāšanu vai pārdošanu, neveicot tiem tehnisko novērtējumu, vai par saskaņā ar šā likuma 9</w:t>
            </w:r>
            <w:r w:rsidR="00000000" w:rsidRPr="00000000" w:rsidDel="00000000">
              <w:rPr>
                <w:vertAlign w:val="superscript"/>
                <w:rtl w:val="0"/>
              </w:rPr>
              <w:t xml:space="preserve">12</w:t>
            </w:r>
            <w:r w:rsidR="00000000" w:rsidRPr="00000000" w:rsidDel="00000000">
              <w:rPr>
                <w:rtl w:val="0"/>
              </w:rPr>
              <w:t xml:space="preserve">. pantā noteiktu speciālo prasību un preču aprites kārtības neievērošanu, piemēro naudas sodu fiziskajai personai no desmit līdz simt četrdesmit naudas soda vienībām, bet juridiskajai personai — no četrdesmit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attiecināt uz Veselības inspekcijas kompetenci aprites kārtību, kas minēta 19. panta astotajā daļā attiecībā uz gāzes baloniem, tas rada neskaidrības un pārpratumu iespējas visām iesaistītajām pusēm, kā komersantiem, tā plašai sabiedrībai un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atsevišķās likumprojekta daļās to, kas attiecas uz gāzes baloniem vienā daļā un citā daļā par preču aprites kārtības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tādu preču laišanu tirgū, kurām nav veikta riska analīze un izstrādāta tehniskā dokumentācija preces drošuma novērtēšanai saskaņā ar regulas Nr.2023/988 9. panta 2. punktu, piemēro naudas sodu fiziskajai personai no piecdesmit sešām līdz simt četrdesmit naudas soda vienībām, bet juridiskajai personai — no simt četrdesmit līdz astoņsimt sešdesmit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preču laišanu tirgū, piedāvāšanu vai pārdošanu, ja tās neatbilst šā likuma 4. panta otrajā daļā minētā normatīvajā aktā vai tieši piemērojamā Eiropas Savienības tiesību aktā noteiktajām drošuma vai būtiskajām prasībām, vai tehniskajiem parametriem, radot risku, piemēro naudas sodu fiziskajai personai no četrpadsmit līdz simt četrdesmit naudas soda vienībām, bet juridiskajai personai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2025. gada 4. februāra iebildums nav ticis ņemts vērā un attiecīgā norma joprojām ir neskaidra.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pantā ietverto pārkāpuma formulējumu tā, lai ikvienam būtu saprotama normas jēga un saturs. Savukārt attiecībā uz likuma 4. panta otro daļu lūdzam izvērtēt un precizēt to, proti, lai būtu skaidrs, kādi nacionālie normatīvie akti ir ietverti pantā, lūdzam šajā pantā piemērveidā uzskaitīt (norādīt) vairākus nacionālos normatīvos aktus un attiecīgi papildināt anotāciju ar pamatojumu konkrētu normatīvu aktu ietveršanai likuma 4.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Tieslietu ministriju 09.04.2025. sanāksmē par redakcionālu risinājumu, kā arī 19.panta strukturālu pārkārtošanu. Redakciju saskaņojums ar TM un VM (kuru arī skar veiktās izmaiņas) apliecināts e-pastos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šā likuma 4. panta otrajā daļā minētā normatīvajā aktā vai tieši piemērojamā Eiropas Savienības tiesību aktā noteikta pienākuma nodrošināt preču atbilstību noteiktām prasībām nepildīšanu vai preču aprites kārtības neievērošanu, piemēro naudas sodu fiziskajai personai no četrpadsmit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preču laišanu tirgū, piedāvāšanu vai pārdošanu, ja tās neatbilst šā likuma 4. panta otrajā daļā minētā normatīvajā aktā vai Eiropas Savienības tiesību aktā noteiktajām drošuma vai būtiskajām prasībām, vai tehniskajiem parametriem, radot risku par apdraudējumu, kurš izraisīs kaitējumu, piemēro naudas sodu fiziskajai personai no četrpadsmit līdz simt četrdesmit naudas soda vienībām, bet juridiskajai personai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ietvertais  pārkāpuma formulējums ir neskaidrs, grūti uzverams. Lūdzam precizēt pantu tā, lai ikvienam būtu saprotama normas jēga un saturs, Vienlaikus ierosinām precizēt likuma 4. panta otro daļu " (2) </w:t>
            </w:r>
            <w:r w:rsidR="00000000" w:rsidRPr="00000000" w:rsidDel="00000000">
              <w:rPr>
                <w:i w:val="1"/>
                <w:rtl w:val="0"/>
              </w:rPr>
              <w:t xml:space="preserve">Šā likuma III1 nodaļu piemēro nepārtikas precēm, kurām attiecībā uz personu veselību un drošību, darba aizsardzību, patērētāju tiesību, vides, sabiedriskās kārtības un citu sabiedrības interešu aizsardzību ir noteiktas prasības normatīvajos aktos, tajā skaitā prasības, kas tajos noteiktas vai tieši piemērojamas saskaņā ar Eiropas Savienības tiesību aktiem, kuri uzskaitīti regulas Nr.  2019/1020 1. pielikumā Eiropas Savienības saskaņošanas tiesību aktu sarakstā, kā arī saskaņā ar Eiropas Savienības tiesību aktiem par preču piekļūstamības prasībām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 formulēta 19. panta devītā daļa, savukārt 4. panta otrā daļa netiek precizēta, jo Tieslietu ministrijas iebildumā netiek minēts, ko tieši tajā vajadzētu precizēt. Vēršam uzmanību, ka tā tapusi sadarbībā ar Tieslietu ministriju iepriekšējā likuma "Par atbilstības novērtēšanu" grozījumu reizē, kad tika ieviesta regula Nr.  2019/1020. Šī norma ir sarežģīta, bet ne neskaidra. Tās mērķis ir aptvert 70 dažādus Eiropas Savienības tiesību aktus, kas uzskaitīti regulas Nr.  2019/1020 1. pielikumā, kas ir gan tieši piemērojamas regulas, gan direktīvas, kuras pārņemtas ar Latvijas normatīvajiem aktiem, un uz tiem visiem ir jāattiecina gan šā likuma regulējums par tigus uzraudzības kārtību, gan arī normas par administratīvo atbildību, kā to noteic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šā likuma 4. panta otrajā daļā minētā normatīvajā aktā vai tieši piemērojamā Eiropas Savienības tiesību aktā noteikta pienākuma nodrošināt preču atbilstību noteiktām prasībām nepildīšanu vai preču aprites kārtības neievērošanu, piemēro naudas sodu fiziskajai personai no četrpadsmit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izslēgt vārdus “otrajā” un vārdus "un trešajā" aizstāt ar vārdiem "trešajā, sestajā, septītajā, astotajā, devītajā un desmitajā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Veselības inspekcijas kompetenci veikt administratīvā pārkāpuma procesu pilnībā paredz 20.panta ceturtā daļa un attiecīgi lūdzam izslēgt Veselības inspekciju no 20.panta pirmās daļas, lai novērstu neskaidrības un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19. panta pirmajā, trešajā, sestajā, septītajā, devītajā, desmitajā un vienpadsmitajā daļā minētajiem pārkāpumiem veic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kompetence veikt administratīvā pārkāpuma procesu noteikta 20. panta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izslēgt vārdu “otrajā” un vārdus “un Veselības inspekcija”, bet vārdus "un trešajā" aizstāt ar vārdiem "trešajā, septītajā, astotajā, devītajā, desmitajā un vienpadsmitajā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likumprojekta mērķa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anotāciju, secināms, ka Tieslietu ministrijas iepriekšējos atzinumos minētais iebildums attiecībā uz anotācijas precizēšanu tikai daļēji ņemts vērā. Likumprojekta anotācijā nav ietverts pilnvērtīgs administratīvās atbildības kritēriju izvērtējums. Tāpat nepieciešams sabalansēt soda apmēru fiziskām un juridiskām personām. Proti, ja vien nav īpašu apstākļu, tad tā paša administratīvā pārkāpuma smagumam nevajadzētu atšķirties no fiziskas un juridiskas personas skatpunkta. Ja, izvērtējot soda apmēru fiziskajām un juridiskajām personām, tiks secināts, ka juridiskajām personām ir piemērojams lielāks naudas sods, tas attiecīgi jāpamato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anotāciju, secinājam, ka Tieslietu ministrijas š.g. 25. septembra atzinumā minētais iebildums attiecībā uz anotācijas precizēšanu tikai daļēji ņemts vērā. Ievērojot minēto, lūdzam anotācijā par katru pārkāpumu iekļaut pilnvērtīgu administratīvās atbildības nepieciešamības un pieļaujamības kritēriju izvērtējumu, pārkāpuma satura skaidrojumu (tostarp norādītas korespondējošās normas), kā arī soda veida un apmēra izvēles pamatojumu. Papildus norādām, ka anotācijā vispār nav norādīts pamatojums likuma papildināšanai ar 19. panta vienpadsmito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likumprojektā ir sniegts skaidrojums par katra būtiskā grozījuma būtību, nepieciešamību un mērķi, tostarp 7. pantā, kā arī 8. pantā saistībā ar attiecīgā likuma 19. panta pirmās daļas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Vienlaikus norādām, ka likumprojekta 8.pantā saistībā ar attiecīgā likuma 19.panta pirmo daļu, nav plānota tā izslēgšana. Ar grozījumiem tiek plānota likuma 19.panta otrās daļas izslēgšana un pamatojums par to jau sniegts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ir  norādīts, ka nav izvērtēti alternatīvie risinājumi. Saistībā ar minēto vēršam uzmanību, ka būtisks projekta sākotnējās ietekmes izvērtēšanas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Līdz ar to alternatīvie risinājumi ir apsverami jebkurā gadījumā. Turklāt, vismaz saistībā ar administratīvās atbildības regulējumu, tā ir neatņemama administratīvās atbildības nepieciešamības un pieļaujamības kritēriju sastāvdaļa (piemēram, jau projekta anotācijā pieminētais administratīvā procesa prioritātes princips). Ievērojot minēto, lūdzam atbilstoši papildināt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likumprojekts izstrādāts ar mērķi iestrādāt tajā tādas normas no saistītā Preču un pakalpojumu drošuma likuma, kas nepieciešamas regulas Nr.2023/988 par ražojumu vispārēju drošumu ieviešanai, jo Preču un pakalpojumu drošuma likums zaudēs spēku un stāsies spēkā Pakalpojumu drošuma likums, kurā saglabāsies normas vien attiecībā uz pakalpojumu drošumu. Ņemot vērā minēto, citu alternatīvu ekonomisko, informatīvo, izglītojošo vai administratīvo risinājumu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par katru pārkāpumu nav iekļauts pilnvērtīgs administratīvās atbildības nepieciešamības un pieļaujamības kritēriju izvērtējums, pārkāpuma satura skaidrojums (tostarp norādītas korespondējošās normas), kā arī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likumprojekta 8. pantā paredzēto pārkāpumu satura skaidrojumu un no likuma izrietošās korespondējošās tiesību normas, par kuru neievērošanu būs paredzēta administratīvā atbildība. Papildus lūdzam likumprojekta anotāciju papildināt ar administratīvās atbildības nepieciešamības un pieļaujamības kritēriju izvērtējumu par katru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anotācijā iekļaut soda veida un apmēra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cita starpā ir nodrošināt, lai nepārtikas preces, kas tiek piedāvātas tirgū, atbilstu normatīvajos aktos noteiktajām prasībām, neradot kaitējumu cilvēka veselībai, drošībai, videi un īpašumam, Valsts kancelejas ieskatā likumprojekts vērtējams kā regulējums ar augstu ietekmes līmeni, kam būtu nepieciešams veikt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strādā pie tiesību aktu izvērtēšanas prakses iedzīvināšanas un attīstīšanas, gan izstrādājot metodiku tiesību aktu ex-post ietekmes izvērtēšanā, gan īstenojot vairākus pilotprojektus, gan plānojot atbalstu novērtēšanas prasmju stiprināšanai pašā valsts pārvaldē. Iecerēts, ka 2025. gada 1.pusē darbs pie tiesību aktu ex-post ietekmes metodikas izstrādes tiks pabeigts, savukārt 2025.gada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 un sekmējot kvalitatīvāka un efektīvāka normatīvā regulējuma izstrādi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saistībā ar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izvērstāk skaidrot likumprojekta 5. un 6. pantā ietvertā pilnvarojuma būtību un nepieciešamību. T.i., lūdzam visupirms izvērtēt, vai attiecīgs pilnvarojums vēl ir vajadzīgs, papildus norādot anotācijā (piem., 5.4. sadaļas 1. tabulā) arī konkrētas regulas Nr. 2023/988 vienības, kuru ieviešanu paredzēts ar attiecīgajiem Ministru kabineta noteikumiem nodrošināt, un vai nepieciešamo regulējumu (likumprojekta 5. panta gadījumā) nevar ietvert pašā likuma tekstā. Savukārt, ja tiek nolemts pilnvarojumu saglabāt, lūdzam likumprojekta anotācijas 4. sadaļā skaidrot pamatojumu šādai izvēlei, kā arī aprakstīt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19. punktā ietverto iebildumu lūdzam izvērtēt, vai likuma "Par atbilstības novērtēšanu" 18. panta otrā daļa nav jāpapildina ar atsauci uz Eiropas Parlamenta un Padomes 2023. gada 10. maija Regulas (ES) 2023/988 par ražojumu vispārēju drošumu, ar ko groza Eiropas Parlamenta un Padomes Regulu (ES) Nr. 1025/2012 un Eiropas Parlamenta un Padomes Direktīvu (ES) 2020/1828 un atceļ Eiropas Parlamenta un Padomes Direktīvu 2001/95/EK un Padomes Direktīvu 87/357/EEK  17. panta 2. punktu, ievērojot, ka dalībvalstīm saskaņā ar Eiropas Parlamenta un Padomes 2019. gada 19. marta Regulas (ES) 2019/515 par citā dalībvalstī likumīgi tirgotu preču savstarpēju atzīšanu un Regulas (EK) Nr. 764/2008 atcelšanu 9. pantu ir pienākums nodrošināt, ka produktu informācijas punktiem ir </w:t>
            </w:r>
            <w:r w:rsidR="00000000" w:rsidRPr="00000000" w:rsidDel="00000000">
              <w:rPr>
                <w:u w:val="single"/>
                <w:rtl w:val="0"/>
              </w:rPr>
              <w:t xml:space="preserve">pietiekamas pilnvaras savu uzdevumu izpildei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jauns pants par likuma "Par atbilstības novērtēšanu" 18. panta otrās daļas papildināšanu ar atsauci uz regulas Nr. 2023/988 17. panta 2. punktu. Attiecīgi papildināta arī tabula anotācijas 5.4.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papildināt likumprojekta anotācijas 5.4. sadaļas 1. tabulu ar informāciju par regulas Nr. 2023/988 3. panta 24. punktā, 17. panta 2. punktā, 24. panta 1. punktā, 33. panta 4. punktā, 37. pantā un 44. pantā (kontekstā ar 9. panta 5., 6. punktu, 11. panta 3. punktu, 19. pantā u.tml.) ietverto prasību ieviešanu vai sniegt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tabulā ailē par rīcības brīvības izmantošanu skaidrot, vai paredzēts izmantot minētās regulas 38. panta 1. punktā ietverto rīcības brīvību, attiecīgā gadījumā norādot, kā rīcības brīvību paredzēts izmantot, un sniedzot attiecīgus apsvērumus, kādēļ rīcības brīvību ir vai nav paredzēts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regulas ir tieši piemērojamas un nav jāpārņem nacionālajos tiesību aktos. Vienlaikus ar šo likumprojektu ir ieviestas atsevišķas normas regulas Nr.2023/988 piemērošanai nacionālā līmenī, kā arī sodu noteikšanai par regulas pārkāpumiem, lai nodrošinātu no regulas normām izrietošo saistību īstenošanu un regulas un nacionālo normu savstarpēju saskaņotību.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reaģējot uz saņemto sūdzību no sabiedrības pārstāvjiem, norāda, ka likumprojekta virzībā nav ievērots publiskajai apspriešanai noteiktais 14 dienu termiņš. Veicot izpēti, Valsts kanceleja konstatēja, ka termiņš saīsināts, jo saskaņošanas plūsma septiņas dienas bija apstājusies pie apstiprinātāja, kurš uzdevumu izpildīja 04.09.2024. Tādējādi sabiedrības pārstāvjiem iespēja iepazīties un sniegt viedokli tika nodrošināta tikai 6 dienas, kas nav pietiekami un nebūtu pieļaujams. Valsts kanceleja aicina Ekonomikas ministriju turpmāk pievērst uzmanību projektu virzības plūsmu ātrumam TAP portālā, kā arī riska mazināšanai paredzēt papildus laiku plūsmas norisei.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uzsākta iespēju pilnveidot sabiedrības līdzdalības procesu ietvaru TAP portālā izvērtēšana, to skaitā, ir plānots izveidot iespēju mainīt attiecīgās līdzdalības norises datumu, ja tas dažādu iemeslu dēļ kļuvis neaktuāls. Vienlaikus nav plānots mainīt kopējo ietvaru - par projekta izstrādi atbildīgā amatpersona ir tā, kurai būtu jāseko līdzi visām ar projekta virzību saistītajām norisēm atbilstoši Ministru kabineta 2009.gada 25.augusta noteikumu Nr.970 "Sabiedrības līdzdalība attīstības plānošanas procesā" 11. un 12.punktam. Atbildīgās personas atbildība saglabāta arī jaunajā regulējumā "Sabiedrības līdzdalība attīstības plānošanas procesā" (23-TA-1199), kuru drīzumā plānots pieņemt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 tiešām saskaņošanas darba plūsmas ātrums ietekmēja termiņu sabiedrībai iepazīties ar likumprojektu. Turpmāk tam tiks pievērsta lielāka uzmanība.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likumprojekta publisko apspriešanu TAP publiskajā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6.3.apakšpunktu, norādot, kādi bija publiskās apspriešanas rezultāti.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iespējas precīzāk aprakstīt ietekmi uz iestāžu veicamo uzdevumu apjomu. Norādām, ka anotācijā ietvertais apraksts ir ļoti vispārīgs.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ietekmi uz pārvaldes funkcijām vai uzdevumiem. Ievērojot, ka likumprojektā ir iekļauti jauni administratīvie pārkāpumi, tas var ietekmēt vismaz uzdevumu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1996, 18. nr.; 1999, 23. nr.; 2002, 23. nr.; 2004, 9. nr.; 2008, 24. nr.; 2009, 14. nr.; Latvijas Vēstnesis, 2010, 43. nr.; 2013, 106. nr.; 2019, 219. nr.; 2023, 42. nr.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norādīt, kādā likumā tiek izdarīti grozījumi (proti, norādīt attiecīgā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atbilstības novērtēšanu" (Latvijas Republikas Saeimas un Ministru Kabineta Ziņotājs, 1996, 18. nr.; 1999, 23. nr.; 2002, 23. nr.; 2004, 9. nr.; 2008, 24. nr.; 2009, 14. nr.; Latvijas Vēstnesis, 2010, 43. nr.; 2013, 106. nr.; 2019, 219. nr.; 2023, 42. nr. )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panta pirmajā daļā ir norādīts nepareizs Eiropas Parlamenta un Padomes Regulas (ES) 2023/988 par ražojumu vispārēju drošumu saīsinājums, proti, norādīts, ka turpmāk tekstā tiek lietots saīsinājums regula Nr. 2019/1020, bet jābūt šādi: (turpmāk - regula Nr. 2023/988)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"regulai Nr.2019/1020” ar vārdiem un skaitļiem "un Eiropas Parlamenta un Padomes Regulai (ES) 2023/988 par ražojumu vispārēju drošumu, ar ko groza Eiropas Parlamenta un Padomes Regulu (ES) Nr.1025/2012 un Eiropas Parlamenta un Padomes Direktīvu (ES) 2020/1828 un atceļ Eiropas Parlamenta un Padomes Direktīvu 2001/95/EK un Padomes Direktīvu 87/357/EEK (turpmāk - regula Nr.2023/988)";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norādīto saīsinājumu "regula Nr. 2019/1020", ņemot vērā, ka ar likumprojektu tiek ieviestas citas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grozījumu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"regulai Nr.2019/1020” ar vārdiem un skaitļiem "un Eiropas Parlamenta un Padomes Regulai (ES) 2023/988 par ražojumu vispārēju drošumu, ar ko groza Eiropas Parlamenta un Padomes Regulu (ES) Nr.1025/2012 un Eiropas Parlamenta un Padomes Direktīvu (ES) 2020/1828 un atceļ Eiropas Parlamenta un Padomes Direktīvu 2001/95/EK un Padomes Direktīvu 87/357/EEK (turpmāk - regula Nr.2023/988)";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noteiktajām prasībām neatbilstošas bīstamas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noteiktajām prasībām neatbilstošo bīstamo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kas ir domāts ar noteiktajām prasībām, vai precizēt likumprojekta 4. pantu (piem., izslēdzot atsauci uz noteiktajām prasībām). Vēršam uzmanību, ka, piemēram, pieņēmums par atbilstību vispārējām drošuma prasībām saskaņā ar regulas Nr. 2023/988 7. panta 3. punktu neliedz tirgus uzraudzības iestādēm veikt visus piemērotos pasākumus saskaņā ar šo regulu, ja ir pierādījumi, ka, neraugoties uz šādu pieņēmumu, ražojums ir bīstams. Attiecīgi secināms, ka pirmšķietami atbilstoši regulai var būt arī bīstamas preces, kuras var atbilst noteiktajām prasībām, turklāt uz noteiktajām prasībām nav norādīts arī minētās regulas 22. panta 4. un 5. punktā, kas ar likumprojektu tiek ieviesti, no kā savukārt var secināt, ka abos minētajos punktos ietvertās pilnvaras ir plašākas, nekā likumprojekta 4. pantā norādītās.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termins "nedroša prece".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nedrošas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nedrošo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bīstamas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bīstamo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ar uzsvaru, ka runa nav tikai par bīstamām precēm, bet par bīstamām un noteiktām prasībām neatbilstošām precēm, jo komersantiem ir iespējams pārdot bīstamās preces, ja tās atbilst noteiktajām prasībām vai sniegt informāciju par bīstamām precēm, kas 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piemēram, Vienotās digitālās vārtejas regulas (2018/1724) 1. pielikumā ir norādīta informācija par Bīstamu ķīmisko vielu klasificēšanas, marķēšanas un iepakošanas prasībām, kas ir jāsniedz Latvijas juridiskām personām. Latvijas gadījumā šādu informāciju sniedz VSIA "LVĢMC" - https://videscentrs.lvgmc.lv/lapas/clp. Esošās redakcijas izpratnē šīs LVĢMC publicētais saturs ir uzskatāms par nelikumīgu, jo saturā ir iekļauta atsauce uz datu bāzi, kurā ir iespējams atrast komersantus, kas pārdod bīstamās preces, kas atbilst noteiktajām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9.7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bīstamas </w:t>
            </w:r>
            <w:r w:rsidR="00000000" w:rsidRPr="00000000" w:rsidDel="00000000">
              <w:rPr>
                <w:u w:val="single"/>
                <w:rtl w:val="0"/>
              </w:rPr>
              <w:t xml:space="preserve">un noteiktajām prasībām neatbilstošas</w:t>
            </w:r>
            <w:r w:rsidR="00000000" w:rsidRPr="00000000" w:rsidDel="00000000">
              <w:rPr>
                <w:rtl w:val="0"/>
              </w:rPr>
              <w:t xml:space="preserve">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bīstamo un </w:t>
            </w:r>
            <w:r w:rsidR="00000000" w:rsidRPr="00000000" w:rsidDel="00000000">
              <w:rPr>
                <w:u w:val="single"/>
                <w:rtl w:val="0"/>
              </w:rPr>
              <w:t xml:space="preserve">noteiktām prasībām neatbilstošu</w:t>
            </w:r>
            <w:r w:rsidR="00000000" w:rsidRPr="00000000" w:rsidDel="00000000">
              <w:rPr>
                <w:rtl w:val="0"/>
              </w:rPr>
              <w:t xml:space="preserve">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"bīstama prece" formulēti kā "noteiktajām prasībām neatbilstoša bīstama prece", kas izslēdz gadījumu, kad prece varētu būt bīstama (piemēram, ķīmiska viela), bet tomēr likumīga un atbilstoša prasībām. Saikli "un" lietot nav vēlams, jo normā paredzētos pienākumus nevar attiecināt uz jebkurām prasībām neatbilstošām precēm. Neatbilstībām ir jābūt tādām, kas preci padara par bīstamu.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nedrošas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nedrošo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risinājumi”aicinām sniegt  16.panta ceturtās daļas  izslēgšanas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 panta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pamatojumu par sodu lielumu. Pārkāpumiem, kas nav saistīti ar risku cilvēka veselībai, sodu bargums ir pārlieks.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normatīvajos aktos noteikto pienākumu nepildīšanu preču atbilstības nodrošināšanai, laižot tirgū, piedāvājot vai pārdodot preci, piemēro naudas sodu fiziskajai personai līdz simt četrdesmit naudas soda vienībām, bet juridiskajai personai — no 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skaidrojumu, ar ko saprotams riska analīzes veikšanas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riska analīzes veikšanu pienākumu ir ietverta anotācijā un attiecīgi paredzēta regulas Nr.2023/988 9.panta 2.punktā, kā arī tās preambulas 62.punktā.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gāzes balonu laišanu tirgū, piedāvāšanu vai pārdošanu, neveicot tiem tehnisko novērtējumu, piemēro naudas sodu fiziskajai personai no desmit līdz simt četrdesmit naudas soda vienībām, bet juridiskajai personai — no četrdesmit līdz tūkstoš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projekta aprakstā precizēt Eiropas Parlamenta un Padomes Regulas (ES) 2023/988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precizēts regulas Nr.2023/988 pieņemšanas datums no 2003.gada uz 2023.gadu.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gadu: 2023.gada 10.maijā tika pieņemta jauna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precizēts regulas Nr.2023/988 pieņemšanas datums no 2003.gada uz 2023.gadu.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teikts:" Regulas 2023/988 50. pantā noteikts, ka no 2014. gada 13. decembra tiek atcelta Direktīva 2001/95/EK", taču minētajā regulā ir  norādīts 2024.gads. Iesakām šajā tekstā skaitli "2014" aizstāt ar skaitli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2023/988 50. pantā noteikts, ka no 2024. gada 13. decembra tiek atcelta Direktīva 2001/95/EK, kas pārņemta Preču un pakalpojumu drošuma likumā, kurš zaudē spēku, stājoties spēkā šim likumprojektam. Savukārt regulas Nr.2023/988 52. pants noteic, ka 2024. gada 13. decembrī sāk piemērot Regulu 2023/988, kuras piemērošanai nepieciešamās normas iestrādātas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mērķa pamatojumā norādot 2024.gada 13. decembri kā Regulas piemērošanas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priekšlikums. Likumprojekta anotācijā norādīts, ka likumprojekta spēkā stāšanās diena ir 2024.gada 13.decembris, kas noteikts, jo regula Nr.2023/988 ir piemērojama no 2024.gada 13.decembra.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 sadaļā "Risinājuma apraksts" iekļauto informāciju, terminu "administratīvā procesa ietekmes līdzekļi" aizstājot ar terminu "piespiedu izpildes līdzekļi" atbilstoši Administratīvā procesa likumā iekļautajam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aprakstā minēts, ka lielākā daļa normu, kas ir ieviestas Preču un pakalpojumu drošuma likumā attiecībā uz preču drošumu, tiek svītrotas. Lūdzam precizēt attiecīgo aprakstu, jo attiecīgās normas zaudē savu spēku, jo spēku zaudē arī Preču un pakalpojumu drošuma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iekļauto informāciju attiecībā uz terminu "administratīvā procesa ietekmes līdzekļi", jo saskaņā ar Administratīvā procesa likumu, ja administratīvā akta adresāts labprātīgi to neizpilda, piemērojami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tika veikti izvērtējumi vai pētījumi, kas pamato likumprojekta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iemeslu, kādēļ netiks veikts pēcpārbaudes (</w:t>
            </w:r>
            <w:r w:rsidR="00000000" w:rsidRPr="00000000" w:rsidDel="00000000">
              <w:rPr>
                <w:i w:val="1"/>
                <w:rtl w:val="0"/>
              </w:rPr>
              <w:t xml:space="preserve">ex-post</w:t>
            </w:r>
            <w:r w:rsidR="00000000" w:rsidRPr="00000000" w:rsidDel="00000000">
              <w:rPr>
                <w:rtl w:val="0"/>
              </w:rPr>
              <w:t xml:space="preserve">) izvērtējums.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tā kā Ministru kabineta 2014.gada 9.decembra noteikumi Nr.755 “Gāzes balonu aprites, uzraudzības un kontroles kārtība” ir izdoti saskaņā ar Preču un pakalpojumu drošuma likuma 8.</w:t>
            </w:r>
            <w:r w:rsidR="00000000" w:rsidRPr="00000000" w:rsidDel="00000000">
              <w:rPr>
                <w:vertAlign w:val="superscript"/>
                <w:rtl w:val="0"/>
              </w:rPr>
              <w:t xml:space="preserve">1</w:t>
            </w:r>
            <w:r w:rsidR="00000000" w:rsidRPr="00000000" w:rsidDel="00000000">
              <w:rPr>
                <w:rtl w:val="0"/>
              </w:rPr>
              <w:t xml:space="preserve"> pantu, tie zaudēs spēku. Ar saistīto likumprojektu "Pakalpojumu drošuma likums" (24-TA-1022) ietverti pārejas noteikumi, lai neradītu juridiskā vakuuma situāciju. Saistībā ar minēto, lūdzam izvērtēt un, ņemot vērā, ka tieši likumprojekts attiecas uz preču drošuma prasībām, - papildināt likumprojektu ar attiecīgiem pārejas noteikumiem, minētos pārejas noteikumus izslēdzot likumprojektā "Pakalpojumu drošuma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nolemts pārejas noteikumus saglabāt likumprojektā "Pakalpojumu drošuma likums" (24-TA-1022). Vēršam uzmanību, ka Ministru kabineta 2014.gada 9.decembra noteikumi Nr.755 “Gāzes balonu aprites, uzraudzības un kontroles kārtība” paredz drošuma prasības gan precēm, gan pakalpojumiem, un pēc Preču un pakalpojumu drošuma likuma spēka zaudēšanas šādi noteikumi tiks izdoti gan uz Pakalpojumu drošuma likuma, gan uz likuma “Par atbilstības novērtēšanu”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aprakstu, jo attiecīgās Preču un pakalpojumu drošuma likuma normas netiek svītrotas, proti, Preču un pakalpojumu drošuma likums netiek grozīts, bet aizstāts ar Pakalpojumu drošuma likumu un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6. punktā ietverto iebildumu lūdzam papildināt likumprojekta anotācijas 5.4. sadaļas 1. tabulu ar informāciju par attiecīgās regulas 37. panta ieviešanu Patērētāju tiesību aizsardzības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informāciju par regulas Nr.2023/988 37. panta ieviešanu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7.4.sadaļas 4.punktā sniegto informāciju, ka tirgus uzraudzības iestādēm paplašinās uzdevums īstenot tirgus uzraudzību un kontroli, lūdzam papildināt minēto punktu, norādot, ka tirgus uzraudzības iestādes tām paredzēto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sadaļas 4.punkts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24-TA-1754</w:t>
    </w:r>
    <w:r>
      <w:br/>
    </w:r>
    <w:r w:rsidR="00000000" w:rsidRPr="00000000" w:rsidDel="00000000">
      <w:rPr>
        <w:rtl w:val="0"/>
      </w:rPr>
      <w:t xml:space="preserve">30.04.2025. 15.30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24-TA-1754</w:t>
    </w:r>
    <w:r>
      <w:br/>
    </w:r>
    <w:r w:rsidR="00000000" w:rsidRPr="00000000" w:rsidDel="00000000">
      <w:rPr>
        <w:rtl w:val="0"/>
      </w:rPr>
      <w:t xml:space="preserve">30.04.2025. 15.30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Izziņa_24-TA-1754.docx</dc:title>
</cp:coreProperties>
</file>

<file path=docProps/custom.xml><?xml version="1.0" encoding="utf-8"?>
<Properties xmlns="http://schemas.openxmlformats.org/officeDocument/2006/custom-properties" xmlns:vt="http://schemas.openxmlformats.org/officeDocument/2006/docPropsVTypes"/>
</file>