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E5F6B1D" w14:textId="77777777" w:rsidR="00406BE1" w:rsidRDefault="00BB35B0">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406BE1" w14:paraId="66D6F8BD" w14:textId="77777777">
        <w:tc>
          <w:tcPr>
            <w:tcW w:w="750" w:type="dxa"/>
            <w:shd w:val="clear" w:color="auto" w:fill="FFFFFF"/>
            <w:noWrap/>
            <w:tcMar>
              <w:top w:w="75" w:type="dxa"/>
              <w:left w:w="75" w:type="dxa"/>
              <w:bottom w:w="75" w:type="dxa"/>
              <w:right w:w="75" w:type="dxa"/>
            </w:tcMar>
            <w:vAlign w:val="center"/>
          </w:tcPr>
          <w:p w14:paraId="3D9D24B5" w14:textId="77777777" w:rsidR="00406BE1" w:rsidRDefault="00BB35B0">
            <w:pPr>
              <w:jc w:val="center"/>
            </w:pPr>
            <w:proofErr w:type="spellStart"/>
            <w:r>
              <w:rPr>
                <w:b/>
              </w:rPr>
              <w:t>Nr.p.k</w:t>
            </w:r>
            <w:proofErr w:type="spellEnd"/>
            <w:r>
              <w:rPr>
                <w:b/>
              </w:rPr>
              <w:t>.</w:t>
            </w:r>
          </w:p>
        </w:tc>
        <w:tc>
          <w:tcPr>
            <w:tcW w:w="4155" w:type="dxa"/>
            <w:shd w:val="clear" w:color="auto" w:fill="FFFFFF"/>
            <w:noWrap/>
            <w:tcMar>
              <w:top w:w="75" w:type="dxa"/>
              <w:left w:w="75" w:type="dxa"/>
              <w:bottom w:w="75" w:type="dxa"/>
              <w:right w:w="75" w:type="dxa"/>
            </w:tcMar>
            <w:vAlign w:val="center"/>
          </w:tcPr>
          <w:p w14:paraId="5096002E" w14:textId="77777777" w:rsidR="00406BE1" w:rsidRDefault="00BB35B0">
            <w:pPr>
              <w:jc w:val="center"/>
            </w:pPr>
            <w:r>
              <w:rPr>
                <w:b/>
              </w:rPr>
              <w:t>Iebilduma / priekšlikuma iesniedzējs</w:t>
            </w:r>
          </w:p>
        </w:tc>
        <w:tc>
          <w:tcPr>
            <w:tcW w:w="4156" w:type="dxa"/>
            <w:shd w:val="clear" w:color="auto" w:fill="FFFFFF"/>
            <w:noWrap/>
            <w:tcMar>
              <w:top w:w="75" w:type="dxa"/>
              <w:left w:w="75" w:type="dxa"/>
              <w:bottom w:w="75" w:type="dxa"/>
              <w:right w:w="75" w:type="dxa"/>
            </w:tcMar>
            <w:vAlign w:val="center"/>
          </w:tcPr>
          <w:p w14:paraId="2591C90B" w14:textId="77777777" w:rsidR="00406BE1" w:rsidRDefault="00BB35B0">
            <w:pPr>
              <w:jc w:val="center"/>
            </w:pPr>
            <w:r>
              <w:rPr>
                <w:b/>
              </w:rPr>
              <w:t>Iesniegtā iebilduma / priekšlikuma būtība</w:t>
            </w:r>
          </w:p>
        </w:tc>
        <w:tc>
          <w:tcPr>
            <w:tcW w:w="1350" w:type="dxa"/>
            <w:shd w:val="clear" w:color="auto" w:fill="FFFFFF"/>
            <w:noWrap/>
            <w:tcMar>
              <w:top w:w="75" w:type="dxa"/>
              <w:left w:w="75" w:type="dxa"/>
              <w:bottom w:w="75" w:type="dxa"/>
              <w:right w:w="75" w:type="dxa"/>
            </w:tcMar>
            <w:vAlign w:val="center"/>
          </w:tcPr>
          <w:p w14:paraId="64DA66C9" w14:textId="77777777" w:rsidR="00406BE1" w:rsidRDefault="00BB35B0">
            <w:pPr>
              <w:jc w:val="center"/>
            </w:pPr>
            <w:r>
              <w:rPr>
                <w:b/>
              </w:rPr>
              <w:t>Ņemts vērā / nav ņemts vērā</w:t>
            </w:r>
          </w:p>
        </w:tc>
        <w:tc>
          <w:tcPr>
            <w:tcW w:w="4156" w:type="dxa"/>
            <w:shd w:val="clear" w:color="auto" w:fill="FFFFFF"/>
            <w:noWrap/>
            <w:tcMar>
              <w:top w:w="75" w:type="dxa"/>
              <w:left w:w="75" w:type="dxa"/>
              <w:bottom w:w="75" w:type="dxa"/>
              <w:right w:w="75" w:type="dxa"/>
            </w:tcMar>
            <w:vAlign w:val="center"/>
          </w:tcPr>
          <w:p w14:paraId="29A62B46" w14:textId="77777777" w:rsidR="00406BE1" w:rsidRDefault="00BB35B0">
            <w:pPr>
              <w:jc w:val="center"/>
            </w:pPr>
            <w:r>
              <w:rPr>
                <w:b/>
              </w:rPr>
              <w:t>Pamatojums, ja iebildums / priekšlikums nav ņemts vērā</w:t>
            </w:r>
          </w:p>
        </w:tc>
      </w:tr>
      <w:tr w:rsidR="00406BE1" w14:paraId="2A6EEA15" w14:textId="77777777">
        <w:tc>
          <w:tcPr>
            <w:tcW w:w="750" w:type="dxa"/>
            <w:shd w:val="clear" w:color="auto" w:fill="FFFFFF"/>
            <w:noWrap/>
            <w:tcMar>
              <w:top w:w="75" w:type="dxa"/>
              <w:left w:w="75" w:type="dxa"/>
              <w:bottom w:w="75" w:type="dxa"/>
              <w:right w:w="75" w:type="dxa"/>
            </w:tcMar>
            <w:vAlign w:val="center"/>
          </w:tcPr>
          <w:p w14:paraId="60116278" w14:textId="77777777" w:rsidR="00406BE1" w:rsidRDefault="00BB35B0">
            <w:pPr>
              <w:jc w:val="center"/>
            </w:pPr>
            <w:r>
              <w:t>1.</w:t>
            </w:r>
          </w:p>
        </w:tc>
        <w:tc>
          <w:tcPr>
            <w:tcW w:w="4155" w:type="dxa"/>
            <w:shd w:val="clear" w:color="auto" w:fill="FFFFFF"/>
            <w:noWrap/>
            <w:tcMar>
              <w:top w:w="75" w:type="dxa"/>
              <w:left w:w="75" w:type="dxa"/>
              <w:bottom w:w="75" w:type="dxa"/>
              <w:right w:w="75" w:type="dxa"/>
            </w:tcMar>
            <w:vAlign w:val="center"/>
          </w:tcPr>
          <w:p w14:paraId="15FB8072" w14:textId="77777777" w:rsidR="00406BE1" w:rsidRDefault="00BB35B0">
            <w:pPr>
              <w:jc w:val="left"/>
            </w:pPr>
            <w:r>
              <w:t xml:space="preserve">Latvijas Sociālās uzņēmējdarbības asociācija, </w:t>
            </w:r>
            <w:proofErr w:type="spellStart"/>
            <w:r>
              <w:t>Regita</w:t>
            </w:r>
            <w:proofErr w:type="spellEnd"/>
            <w:r>
              <w:t xml:space="preserve"> Zeiļa</w:t>
            </w:r>
          </w:p>
        </w:tc>
        <w:tc>
          <w:tcPr>
            <w:tcW w:w="4156" w:type="dxa"/>
            <w:shd w:val="clear" w:color="auto" w:fill="FFFFFF"/>
            <w:noWrap/>
            <w:tcMar>
              <w:top w:w="75" w:type="dxa"/>
              <w:left w:w="75" w:type="dxa"/>
              <w:bottom w:w="75" w:type="dxa"/>
              <w:right w:w="75" w:type="dxa"/>
            </w:tcMar>
            <w:vAlign w:val="center"/>
          </w:tcPr>
          <w:p w14:paraId="6C7B49A3" w14:textId="77777777" w:rsidR="00406BE1" w:rsidRDefault="00BB35B0">
            <w:pPr>
              <w:jc w:val="left"/>
            </w:pPr>
            <w:r>
              <w:t>Biedrība “Latvijas Sociālās uzņēmējdarbības asociācija” sniedz priekšlikumu par plānotajiem grozījumiem.</w:t>
            </w:r>
            <w:r>
              <w:br/>
            </w:r>
            <w:r>
              <w:br/>
            </w:r>
            <w:r>
              <w:t>Sociāli atbildīgs publiskais iepirkums, līdztekus tādiem iepirkuma veidiem kā inovatīvais vai zaļais iepirkums, ir vēl viens instruments, kā Latvijai īstenot savu politiku un sasniegt valsts stratēģiskos mērķus un uzņemtās starptautiskās saistības. </w:t>
            </w:r>
            <w:r>
              <w:rPr>
                <w:b/>
              </w:rPr>
              <w:t>Tā ir iespēja gudri un efektīvi izmantot jau esošos publiskos resursus, lai risinātu sabiedrības un valsts kopējos sociālos izaicinājumus.</w:t>
            </w:r>
            <w:r>
              <w:br/>
            </w:r>
            <w:r>
              <w:br/>
            </w:r>
            <w:r>
              <w:t xml:space="preserve">Kā norāda Eiropas Komisija, </w:t>
            </w:r>
            <w:r>
              <w:rPr>
                <w:b/>
              </w:rPr>
              <w:t xml:space="preserve">publiskās pārvaldes iestādes var </w:t>
            </w:r>
            <w:r>
              <w:rPr>
                <w:b/>
              </w:rPr>
              <w:lastRenderedPageBreak/>
              <w:t>izmantot publisko iepirkumu iespēju stratēģiskāk,</w:t>
            </w:r>
            <w:r>
              <w:t xml:space="preserve"> lai par ka</w:t>
            </w:r>
            <w:r>
              <w:t>tru iztērēto valsts līdzekļu </w:t>
            </w:r>
            <w:proofErr w:type="spellStart"/>
            <w:r>
              <w:t>euro</w:t>
            </w:r>
            <w:proofErr w:type="spellEnd"/>
            <w:r>
              <w:t> saņemtu iespējami labāku rezultātu un tādējādi palīdzētu padarīt mūsu ekonomiku inovatīvāku, ilgtspējīgāku, iekļaujošāku un konkurētspējīgāku. Stratēģiskajam publiskajam iepirkumam jābūt lielākai nozīmei valdību un pašvaldību centienos rast atbildi uz izvirzītajiem mērķiem sabiedrības, vides un ekonomikas jomā, piemēram, aprites ekonomikas jomā. Aicinām turpmāk vēl vairāk izcelt šo iespēju un mudināt publiskās iestādes veikt iepirkumus stratēģiskāk.</w:t>
            </w:r>
            <w:r>
              <w:br/>
            </w:r>
            <w:r>
              <w:br/>
            </w:r>
            <w:r>
              <w:t>Ņemot vērā, ka kopīgi a</w:t>
            </w:r>
            <w:r>
              <w:t xml:space="preserve">r Iepirkumu uzraudzības biroju 2020. gadā tika izstrādātas “Vadlīnijas sociāli atbildīga publiskā iepirkuma īstenošanai”, (plašāks pamatojums vajadzībai šiem grozījumiem meklējams vadlīniju 22 </w:t>
            </w:r>
            <w:proofErr w:type="spellStart"/>
            <w:r>
              <w:t>lpp</w:t>
            </w:r>
            <w:proofErr w:type="spellEnd"/>
            <w:r>
              <w:t xml:space="preserve"> - 39lpp), </w:t>
            </w:r>
            <w:r>
              <w:rPr>
                <w:u w:val="single"/>
              </w:rPr>
              <w:t xml:space="preserve">lūdzam </w:t>
            </w:r>
            <w:r>
              <w:rPr>
                <w:u w:val="single"/>
              </w:rPr>
              <w:lastRenderedPageBreak/>
              <w:t>ietvert plānoto grozījumu projektā vadlīnijās izteiktos ieteikumus, sekojoši:</w:t>
            </w:r>
            <w:r>
              <w:br/>
            </w:r>
            <w:r>
              <w:br/>
            </w:r>
            <w:r>
              <w:t xml:space="preserve">1) Ņemot vērā Direktīvas 2014/24/ES dotās iespējas, </w:t>
            </w:r>
            <w:r>
              <w:rPr>
                <w:b/>
              </w:rPr>
              <w:t>būtu ieteicams paplašināt 16. panta pirmās daļas tvērumu,</w:t>
            </w:r>
            <w:r>
              <w:t xml:space="preserve"> paredzot, ka pasūtītājs ir tiesīgs rezervēt iespēju piedalīties iepirkumā plašākam personu lokam, arī, piemēr</w:t>
            </w:r>
            <w:r>
              <w:t xml:space="preserve">am, uzņēmumam, kura galvenais mērķis ir personu ar invaliditāti vai nelabvēlīgā situācijā nonākušu personu sociālā un profesionālā integrācija un tas nodarbina noteikto minimālo nelabvēlīgā situācijā nonākušu personu jeb </w:t>
            </w:r>
            <w:proofErr w:type="spellStart"/>
            <w:r>
              <w:t>mazaizsargāto</w:t>
            </w:r>
            <w:proofErr w:type="spellEnd"/>
            <w:r>
              <w:t xml:space="preserve"> personu skaitu.</w:t>
            </w:r>
            <w:r>
              <w:br/>
            </w:r>
            <w:r>
              <w:br/>
            </w:r>
            <w:r>
              <w:rPr>
                <w:i/>
              </w:rPr>
              <w:t xml:space="preserve">Vajadzības </w:t>
            </w:r>
            <w:proofErr w:type="spellStart"/>
            <w:r>
              <w:rPr>
                <w:i/>
              </w:rPr>
              <w:t>pamatojums:No</w:t>
            </w:r>
            <w:proofErr w:type="spellEnd"/>
            <w:r>
              <w:rPr>
                <w:i/>
              </w:rPr>
              <w:t xml:space="preserve"> spēkā esošā normas formulējuma konstatējams, ka PIL 16. panta pirmā daļa:1) paredz ierobežojumus pasūtītājam un pretendentiem, proti, tā varētu tikt piemērota tikai attiecībā uz tādiem </w:t>
            </w:r>
            <w:r>
              <w:rPr>
                <w:i/>
              </w:rPr>
              <w:lastRenderedPageBreak/>
              <w:t>uzņēmumiem, kas īsteno pasākumus noteiktām personu</w:t>
            </w:r>
            <w:r>
              <w:rPr>
                <w:i/>
              </w:rPr>
              <w:t xml:space="preserve"> grupām atbilstoši Bezdarbnieku un darba meklētāju atbalsta likumam, tādejādi būtiski ierobežojot potenciālo pretendentu skaitu;2) izslēdz jebkurus citus uzņēmumus (arī sociālos uzņēmumus, kuru mērķis ir radīt darba vietas </w:t>
            </w:r>
            <w:proofErr w:type="spellStart"/>
            <w:r>
              <w:rPr>
                <w:i/>
              </w:rPr>
              <w:t>mērķgrupu</w:t>
            </w:r>
            <w:proofErr w:type="spellEnd"/>
            <w:r>
              <w:rPr>
                <w:i/>
              </w:rPr>
              <w:t xml:space="preserve"> pārstāvjiem), kas nav iesaistījušies pasākumu īstenošanā noteiktām personu grupām atbilstoši Bezdarbnieku un darba meklētāju atbalsta likumam.</w:t>
            </w:r>
            <w:r>
              <w:br/>
            </w:r>
            <w:r>
              <w:br/>
            </w:r>
            <w:r>
              <w:t xml:space="preserve">2) </w:t>
            </w:r>
            <w:r>
              <w:rPr>
                <w:b/>
              </w:rPr>
              <w:t xml:space="preserve">Paplašināt PIL 16. panta pirmajā daļā ietverto nodarbināto personu loku, </w:t>
            </w:r>
            <w:r>
              <w:t>piemēram, nosakot tās grupas, kas paredzētas Ministru kabin</w:t>
            </w:r>
            <w:r>
              <w:t>eta noteikumos Nr.173 “Noteikumi par sociālās atstumtības riskam pakļauto iedzīvotāju grupām un sociālā uzņēmuma statusa piešķiršanas, reģistrēšanas un uzraudzības kārtību”</w:t>
            </w:r>
            <w:r>
              <w:br/>
            </w:r>
            <w:r>
              <w:br/>
            </w:r>
            <w:r>
              <w:rPr>
                <w:i/>
              </w:rPr>
              <w:t xml:space="preserve">Vajadzības </w:t>
            </w:r>
            <w:proofErr w:type="spellStart"/>
            <w:r>
              <w:rPr>
                <w:i/>
              </w:rPr>
              <w:t>pamatojums:PIL</w:t>
            </w:r>
            <w:proofErr w:type="spellEnd"/>
            <w:r>
              <w:rPr>
                <w:i/>
              </w:rPr>
              <w:t xml:space="preserve"> </w:t>
            </w:r>
            <w:r>
              <w:rPr>
                <w:i/>
              </w:rPr>
              <w:lastRenderedPageBreak/>
              <w:t>16. panta pirmajā daļā iekļauta norāde, ka nodarbinātās personas ir “personas ar invaliditāti”, taču Direktīvas 2014/24/ES 20. panta pirmajā daļā tiek lietots formulējums “[..] personas ar invaliditāti vai nelabvēlīgā situācijā nonākušas personas”. Jāsecina, ka likumdevējs ir noteicis šaurāku personu loku, pare</w:t>
            </w:r>
            <w:r>
              <w:rPr>
                <w:i/>
              </w:rPr>
              <w:t>dzot, ka uzņēmumam, kas pretendē uz privileģēto līgumu noslēgšanu, ir tiesības nodarbināt tikai personas ar invaliditāti. Jānorāda, ka Latvijā ir identificējamas arī citas riska grupas, kuru nodarbinātību būtu jāveicina un jāatbalsta.</w:t>
            </w:r>
            <w:r>
              <w:br/>
            </w:r>
            <w:r>
              <w:br/>
            </w:r>
            <w:r>
              <w:t xml:space="preserve">3) </w:t>
            </w:r>
            <w:r>
              <w:rPr>
                <w:b/>
              </w:rPr>
              <w:t>Precizēt PIL 16. panta pirmajā daļā ietverto nodarbinātības procentu,</w:t>
            </w:r>
            <w:r>
              <w:t xml:space="preserve"> vienādojot to ar Direktīvā 2014/24/ES lietoto formulējumu, paredzot iespēju to piemērot jau no 30% sliekšņa sasniegšanas</w:t>
            </w:r>
            <w:r>
              <w:br/>
            </w:r>
            <w:r>
              <w:br/>
            </w:r>
            <w:r>
              <w:rPr>
                <w:i/>
              </w:rPr>
              <w:t xml:space="preserve">Vajadzības </w:t>
            </w:r>
            <w:proofErr w:type="spellStart"/>
            <w:r>
              <w:rPr>
                <w:i/>
              </w:rPr>
              <w:t>pamatojums:PIL</w:t>
            </w:r>
            <w:proofErr w:type="spellEnd"/>
            <w:r>
              <w:rPr>
                <w:i/>
              </w:rPr>
              <w:t xml:space="preserve"> 16. panta pirmajā daļā iekļauta </w:t>
            </w:r>
            <w:r>
              <w:rPr>
                <w:i/>
              </w:rPr>
              <w:lastRenderedPageBreak/>
              <w:t xml:space="preserve">norāde “vairāk nekā 30 </w:t>
            </w:r>
            <w:r>
              <w:rPr>
                <w:i/>
              </w:rPr>
              <w:t>procenti no vidējā nodarbināto darbinieku skaita gadā ir personas ar invaliditāti”. Saistībā ar to konstatējams, ka:1) PIL paredzēts, ka darbinieku skaitam jābūt “vairāk nekā 30 procenti”, savukārt direktīvā iekļauts formulējums “vismaz 30% no[..]”.2) PIL nav iekļauts skaidrojums, kādā veidā minētais aprēķins veicams, t.i., normā nav konkrēti norādīts, attiecībā uz kuru brīdi šī pārbaude veicama, kā arī aprēķina veikšanas veids, piemēram, vai aprēķinā ņemams vērā darbinieku skaits mēnesī, dienā u.tml.</w:t>
            </w:r>
            <w:r>
              <w:br/>
            </w:r>
            <w:r>
              <w:br/>
            </w:r>
            <w:proofErr w:type="spellStart"/>
            <w:r>
              <w:t>Regi</w:t>
            </w:r>
            <w:r>
              <w:t>ta</w:t>
            </w:r>
            <w:proofErr w:type="spellEnd"/>
            <w:r>
              <w:t xml:space="preserve"> Zeiļa</w:t>
            </w:r>
            <w:r>
              <w:br/>
            </w:r>
            <w:r>
              <w:t>Biedrība “Latvijas Sociālās uzņēmējdarbības asociācija”</w:t>
            </w:r>
            <w:r>
              <w:br/>
            </w:r>
            <w:r>
              <w:br/>
            </w:r>
          </w:p>
        </w:tc>
        <w:tc>
          <w:tcPr>
            <w:tcW w:w="1350" w:type="dxa"/>
            <w:shd w:val="clear" w:color="auto" w:fill="FFFFFF"/>
            <w:noWrap/>
            <w:tcMar>
              <w:top w:w="75" w:type="dxa"/>
              <w:left w:w="75" w:type="dxa"/>
              <w:bottom w:w="75" w:type="dxa"/>
              <w:right w:w="75" w:type="dxa"/>
            </w:tcMar>
            <w:vAlign w:val="center"/>
          </w:tcPr>
          <w:p w14:paraId="50C4E335" w14:textId="7B979A91" w:rsidR="00406BE1" w:rsidRPr="00BB35B0" w:rsidRDefault="00BB35B0">
            <w:pPr>
              <w:jc w:val="left"/>
              <w:rPr>
                <w:b/>
                <w:bCs/>
              </w:rPr>
            </w:pPr>
            <w:r>
              <w:rPr>
                <w:b/>
                <w:bCs/>
              </w:rPr>
              <w:lastRenderedPageBreak/>
              <w:t>Ņemts vērā</w:t>
            </w:r>
          </w:p>
        </w:tc>
        <w:tc>
          <w:tcPr>
            <w:tcW w:w="4156" w:type="dxa"/>
            <w:shd w:val="clear" w:color="auto" w:fill="FFFFFF"/>
            <w:noWrap/>
            <w:tcMar>
              <w:top w:w="75" w:type="dxa"/>
              <w:left w:w="75" w:type="dxa"/>
              <w:bottom w:w="75" w:type="dxa"/>
              <w:right w:w="75" w:type="dxa"/>
            </w:tcMar>
            <w:vAlign w:val="center"/>
          </w:tcPr>
          <w:p w14:paraId="2C4D3ECC" w14:textId="7223BEAA" w:rsidR="00406BE1" w:rsidRDefault="00BB35B0">
            <w:pPr>
              <w:jc w:val="left"/>
            </w:pPr>
            <w:r>
              <w:t>Skat. likumprojektā ietverto Publisko iepirkumu likuma 16.panta pirmās daļas jauno redakciju</w:t>
            </w:r>
          </w:p>
        </w:tc>
      </w:tr>
    </w:tbl>
    <w:p w14:paraId="7C16F686" w14:textId="77777777" w:rsidR="00BB35B0" w:rsidRDefault="00BB35B0"/>
    <w:sectPr w:rsidR="00000000">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48C2" w14:textId="77777777" w:rsidR="00BB35B0" w:rsidRDefault="00BB35B0">
      <w:r>
        <w:separator/>
      </w:r>
    </w:p>
  </w:endnote>
  <w:endnote w:type="continuationSeparator" w:id="0">
    <w:p w14:paraId="4656B57A" w14:textId="77777777" w:rsidR="00BB35B0" w:rsidRDefault="00BB3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59160" w14:textId="77777777" w:rsidR="00406BE1" w:rsidRDefault="00BB35B0">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BB59D" w14:textId="77777777" w:rsidR="00BB35B0" w:rsidRDefault="00BB35B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FC7D26" w14:textId="77777777" w:rsidR="00BB35B0" w:rsidRDefault="00BB35B0">
      <w:r>
        <w:separator/>
      </w:r>
    </w:p>
  </w:footnote>
  <w:footnote w:type="continuationSeparator" w:id="0">
    <w:p w14:paraId="30284557" w14:textId="77777777" w:rsidR="00BB35B0" w:rsidRDefault="00BB35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6AEDC" w14:textId="77777777" w:rsidR="00406BE1" w:rsidRDefault="00BB35B0">
    <w:pPr>
      <w:pStyle w:val="Header"/>
      <w:contextualSpacing w:val="0"/>
    </w:pPr>
    <w:r>
      <w:t>Viedokļu pārskats 22-TA-435</w:t>
    </w:r>
    <w:r>
      <w:br/>
    </w:r>
    <w:r>
      <w:t>Izdrukāts 05.09.2023. 11.41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BC0E5" w14:textId="77777777" w:rsidR="00406BE1" w:rsidRDefault="00BB35B0">
    <w:pPr>
      <w:pStyle w:val="Header"/>
      <w:contextualSpacing w:val="0"/>
    </w:pPr>
    <w:r>
      <w:t>Viedokļu pārskats 22-TA-435</w:t>
    </w:r>
    <w:r>
      <w:br/>
    </w:r>
    <w:r>
      <w:t>Izdrukāts 05.09.2023. 11.41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BE1"/>
    <w:rsid w:val="00406BE1"/>
    <w:rsid w:val="00BB35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37DF"/>
  <w15:docId w15:val="{A466F5F2-8ADC-44F5-9647-F7BE0936F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6</Pages>
  <Words>2957</Words>
  <Characters>1687</Characters>
  <Application>Microsoft Office Word</Application>
  <DocSecurity>0</DocSecurity>
  <Lines>14</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viedoklu_parskats_22-TA-435.docx</dc:title>
  <dc:creator>Iveta Cirse</dc:creator>
  <cp:lastModifiedBy>Iveta Cirse</cp:lastModifiedBy>
  <cp:revision>2</cp:revision>
  <dcterms:created xsi:type="dcterms:W3CDTF">2023-09-05T08:59:00Z</dcterms:created>
  <dcterms:modified xsi:type="dcterms:W3CDTF">2023-09-05T08:59:00Z</dcterms:modified>
</cp:coreProperties>
</file>