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25-TA-523: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Maksimālais attiecināmais Eiropas Reģionālās attīstības fonda finansējuma apmērs nepārsniedz 85 procentus no projektā plānotā kopējā attiecināmā finansējuma, ņemot vērā izmaksu un ieguvumu analīzē iegūto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5.punkta svītrot vārdus "</w:t>
            </w:r>
            <w:r w:rsidR="00000000" w:rsidRPr="00000000" w:rsidDel="00000000">
              <w:rPr>
                <w:i w:val="1"/>
                <w:rtl w:val="0"/>
              </w:rPr>
              <w:t xml:space="preserve">ņemot vērā izmaksu un ieguvumu analīzē iegūto rezultātu</w:t>
            </w:r>
            <w:r w:rsidR="00000000" w:rsidRPr="00000000" w:rsidDel="00000000">
              <w:rPr>
                <w:rtl w:val="0"/>
              </w:rPr>
              <w:t xml:space="preserve">", ņemot vērā, ka netiek plānots, ka līdzfinansējuma likmi noteiktu izmaksu un ieguvumu analīzē gūtie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ir precizēts atbilstoši priekšlikumam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Maksimālais attiecināmais Eiropas Reģionālās attīstības fonda finansējuma apmērs nepārsniedz 85 procentus no projektā plānotā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Maksimālais attiecināmais Eiropas Reģionālās attīstības fonda finansējuma apmērs nepārsniedz 85 procentus no projektā plānotā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projekta īstenošanā var piesaistīt papildu publiskos līdzekļus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6.punkta un anotācijas izriet, ka projekta iesniedzējs projekta īstenošanā nepieciešamības gadījumā var piesaistīt papildu publiskos līdzekļus attiecināmo izmaksu segšanai. Lūdzam anotāciju papildināt ar skaidrojumu, kādus citus publiskos līdzekļus var papildus piesaistīt.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nepieciešamības gadījumā var piesaistīt papildu publiskos līdzekļus attiecināmo izmaksu segšanai (piemēram, pašvaldības finansējumu vai pašvaldības aizņēmumu Valsts kasē, ievērojot  gadskārtējā valsts budžeta likumā noteiktos aizņemšanās mērķus un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iesniedzējs projekta īstenošanā var piesaistīt papildu publiskos līdzekļus attiecināmo izmaksu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Infrastruktūra, kurā plānotas investīcijas specifiskā atbalsta ietvaros, atrodas Daugavpils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iestrādātajai praksei, ja Ministru kabineta noteikumi par specifisko atbalsta mērķi  ir attiecināmi uz infrastruktūru, tad  minētajos noteikumos iekļauj nosacījumu par finansējuma saņēmēja tiesībām uz konkrēto objektu vai īpašumu, kurā plānots veikt ieguldījumus (īpašumā, ilgtermiņa nomā vai nodibinātas apbūves tiesības, bezatlīdzības lietošanā, valdījumā, turējumā u.c.) un minētajām tiesībām uz konkrēto objektu vai īpašumu jābūt nostiprinātām Zemesgrāmatā. Gadījumā, ja ir piemērojams izņēmums, anotācijā ir jāietver attiecīgs pamatojums. Ņemot vērā iepriekšminēto lūdzam precizēt noteikumu projekta 15.punktu, vai anotācijā ietvert attiecīgu pamatojumu izņēmumam.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projekta īstenošanas laikā līdz būvdarbu uzsākšanas brīdim nodrošina, ka transporta infrastruktūras izbūve paredzēta finansējuma saņēmēja īpašumā vai valdījumā, vai turējumā esošajās zemes vienībās vai ka finansējuma saņēmējam ar īpašuma vai zemes vienību īpašnieku ir noslēgta atbilstoša vienošanās par īpašuma vai zemes vienības ilgtermiņa nomas vai lietojuma tiesībām, vai apbūves tiesībām, kā arī būvniecības, lietošanas, uzturēšanas un attīstības (tai skaitā modernizēšanas, pārbūves) kārtību. Finansējuma saņēmēja tiesības uz konkrēto objektu vai īpašumu ir nostiprinātas zemesgrāmatā līdz projekta noslēguma maksājuma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kas pēc projekta apstiprināšanas ir finansējuma saņēmējs (turpmāk – finansējuma saņēmējs), projekta īstenošanas laikā, līdz būvdarbu uzsākšanas brīdim, nodrošina, ka transporta infrastruktūras izbūve paredzēta finansējuma saņēmēja īpašumā vai valdījumā, vai turējumā esošajās zemes vienībās vai ka finansējuma saņēmējam ar īpašuma vai zemes vienību īpašnieku ir noslēgta atbilstoša vienošanās par īpašuma vai zemes vienības ilgtermiņa nomas vai lietojuma tiesībām, vai apbūves tiesībām, kā arī būvniecības, lietošanas, uzturēšanas un attīstības (tai skaitā modernizēšanas, pārbūves) kārtību. Finansējuma saņēmēja tiesības uz konkrēto objektu vai īpašumu ir nostiprinātas zemesgrāmatā līdz projekta noslēguma maksājuma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īstenojamā projekta kopējās izmaksas ir plānotas ne mazāk kā 5 086 621 euro apmērā, lūdzam izvērtēt nepieciešamību papildināt noteikumu projektu ar punktu, kas paredz  Daugavpils valstspilsētas pašvaldībai avansa saņemšanas iespējas projekta īstenošanai, kā tas  ir paredzēts citos ES līdzfinansētajos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ja tai ir pieejami valsts budžeta līdzekļi, pamatojoties uz finansējuma saņēmēja rakstisku avansa pieprasījumu un izvērtējot plānotā avansa apmēru un tā pamatojumu, var piešķirt finansējuma saņēmējam avansu pēc vienošanās noslēgšanas par projekta īstenošanu. Finansējuma saņēmējs avansa pieprasījumu sagatavo un sadarbības iestāde apstiprina, ievērojot nosacījumu, ka plānotā avansa apmērs un tā pamatojums atbilst spējai to izlietot sešu mēnešu laikā saimnieciskā gada ietvaros (piemēram, projekta iesniedzējam ir pabeigts būvdarbu iepirkums vai noslēgts būvdarbu līgums). Finansējuma saņēmējam avansu var piešķirt līdz 30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netiešās attiecināmās izmaksas, kas nav tieši saistītas ar projekta rezultātu sasniegšanu, bet atbalsta un nodrošina atbilstošus apstākļus projekta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netiešo izmaksu apmēru un aprēķināšanas likmi. Vienlaikus lūdzam deleģējuma sadaļā noteikt, ka MK noteikumi nosaka arī vienkāršoto izmaksu nosacījumus, ņemot vērā, ka plānotas netiešās izmaksas, kam jānosaka vienotā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ir papildināts ar jaunu 1.6.apakšpunktu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23.punkts ir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21.2. apakšpunktā minētās netiešās attiecināmās izmaksas plāno kā vienu izmaksu pozīciju, piemērojot netiešo izmaksu vienoto likmi 15 procentu apmērā no šo noteikumu 22.11. apakšpunktā minētajām tiešajām attiecināmajām personāla izmaksām. Netiešo izmaksu vienoto likmi piemēro personāla izmaksām, kuras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pievienots skaidrojums par netiešo izmaksu apmēra un aprēķināšanas likmes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tiek piemērots vienkāršoto izmaksu vienotās likmes veids – netiešo izmaksu vienotā likme 15 procentu apmērā no tiešajām attiecināmajām personāla izmaksām. Netiešo izmaksu vienoto likmi piemēro personāla izmaksām, kuras radušās uz darba līguma pamata. Atbilstoši Eiropas Parlamenta un Padomes 2021. gada 24. jūnija Regulas (ES) 2021/1060 (turpmāk – Regula 2021/1060) 54.panta b) apakšpunktam nav jāveic aprēķins piemērojamās likmes noteikšanai. Netiešās attiecināmās izmaksas ir, piemēram, attiecīgo būvspeciālistu normatīvajos aktos noteiktās obligātās apdrošināšanas izmaksas atbilstoši normatīvajiem aktiem būvspeciālistu un būvdarbu veicēju civiltiesiskās atbildības obligātās apdrošināšanas jomā, kā arī projekta komunikācijas un vizuālās identitātes prasību nodrošināšanas izmaksas, informācijas un publicitātes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Autoruzraudzības un būvdarbu būvuzraudzības izmaksas tiek iekļautas projekta tiešajās attiecināmajās izmaksās, jo tās pēc būtības ir tieši saistītas ar projekta mērķa sasniegšanu. Attiecīgi noteikumu projekta 22.punktā tiek pievienots jauns 22.9.apakšpunkts: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autoruzraudzības un būvdarbu būvuzraudzības izmaksas atbilstoši būvniecības jomu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netiešās attiecināmās izmaksas, kas nav tieši saistītas ar projekta rezultātu sasniegšanu, bet atbalsta un nodrošina atbilstošus apstākļus projekta īstenošanai un projekta rezultātu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projekta vadības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plānotas projekta vadības personāla izmaksas, aicinām noteikumu projektā paredzēt arī atbilstošu atbalstāmo darbību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25.punktu, ņemot vērā, ka 25.1. un 25.2. apakšpunktos noteiktais ierobežojums '</w:t>
            </w:r>
            <w:r w:rsidR="00000000" w:rsidRPr="00000000" w:rsidDel="00000000">
              <w:rPr>
                <w:i w:val="1"/>
                <w:rtl w:val="0"/>
              </w:rPr>
              <w:t xml:space="preserve">euro</w:t>
            </w:r>
            <w:r w:rsidR="00000000" w:rsidRPr="00000000" w:rsidDel="00000000">
              <w:rPr>
                <w:rtl w:val="0"/>
              </w:rPr>
              <w:t xml:space="preserve">' ir ES fondu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iekļaujot atbalstāmo darbību “Projekta vadības nodrošināšana”. Attiecīgi noteikumu projekta 20.punkts ir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Specifiskā atbalsta ietvaros atbalstāmās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Vienības tilta pārbūve, kas uzlabos civilās un militārās mobilitātes savienojumu efektivitāti un drošību Daugavpils valstspilsētā un Latgales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26.punkts ir precizēts atbilstoši priekšlikumā iekļautajai norādei, pievienojot 26.punkta apakšpunktos frāzi ‘Eiropas Reģionālās attīstības fonda finansējuma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22.12. apakšpunktā minētās projekta vadības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nepārsniedz 34 422 </w:t>
            </w:r>
            <w:r w:rsidR="00000000" w:rsidRPr="00000000" w:rsidDel="00000000">
              <w:rPr>
                <w:i w:val="1"/>
                <w:rtl w:val="0"/>
              </w:rPr>
              <w:t xml:space="preserve">euro</w:t>
            </w:r>
            <w:r w:rsidR="00000000" w:rsidRPr="00000000" w:rsidDel="00000000">
              <w:rPr>
                <w:rtl w:val="0"/>
              </w:rPr>
              <w:t xml:space="preserve"> Eiropas Reģionālās attīstības fonda finansējuma daļai gadā, pieskaitot 0,64 procentus no projekta tiešajām attiecināmajām izmaksām (neieskaitot tiešās projekta vadības personāla izmaksas), ja projekta tiešās attiecināmās izmaksas nepārsniedz 5 000 000 </w:t>
            </w:r>
            <w:r w:rsidR="00000000" w:rsidRPr="00000000" w:rsidDel="00000000">
              <w:rPr>
                <w:i w:val="1"/>
                <w:rtl w:val="0"/>
              </w:rPr>
              <w:t xml:space="preserve">euro</w:t>
            </w:r>
            <w:r w:rsidR="00000000" w:rsidRPr="00000000" w:rsidDel="00000000">
              <w:rPr>
                <w:rtl w:val="0"/>
              </w:rPr>
              <w:t xml:space="preserve"> (ieskaitot). Par nepilnu kalendāra gadu fiksēto summu aprēķina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nepārsniedz 84 787 </w:t>
            </w:r>
            <w:r w:rsidR="00000000" w:rsidRPr="00000000" w:rsidDel="00000000">
              <w:rPr>
                <w:i w:val="1"/>
                <w:rtl w:val="0"/>
              </w:rPr>
              <w:t xml:space="preserve">euro</w:t>
            </w:r>
            <w:r w:rsidR="00000000" w:rsidRPr="00000000" w:rsidDel="00000000">
              <w:rPr>
                <w:rtl w:val="0"/>
              </w:rPr>
              <w:t xml:space="preserve"> Eiropas Reģionālās attīstības fonda finansējuma daļai kalendāra gadā, ja projekta tiešās attiecināmās izmaksas ir lielākas nekā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projekta vadības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minētās netiešās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vadošās iestādes vadlīnijās Nr 1.2 “Vadlīnijas attiecināmo izmaksu noteikšanai Eiropas Savienības kohēzijas politikas programmas 2021.-2027.gada plānošanas periodā” ierosinātie grozījumi, kas paredz tai skaitā autoruzraudzības un būvuzraudzības izmaksu ierobežojumu svītrošanu, pašlaik ir saskaņošanas procesā un gala versija vēl nav apstiprināta, līdz ar to aicinām ņemt vērā, ka tajā vēl iespējamas izmaiņas, t.sk. tādas, kas ietekmētu arī šo MK noteikumu projektu un tajā ietvertos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var tikt virzīts apstiprināšanai Ministru kabinetā (turpmāk – MK) pirms vadlīniju apstiprināšanas, taču tajā ietvertas atsevišķas normas atbilstoši plānotajiem grozījumiem (t.i. atkāpes no ierobežojumiem), aicinām anotāciju papildināt ar a) pamatojumu atkāpei no spēkā esošajām vadlīnijām; b) informāciju, ka Atbildīgā iestāde vajadzības gadījumā vērtēs grozījumu nepieciešamību apstiprinātajos MK noteikumos balstoties uz vadlīniju versiju pēc grozījumiem, ievērojot visus tajā ietvertos nosacījumus, t.sk. pārvērtējot visas izmaksu pozīcijas, attiecināšanas nosacījumus un izmaiņu ietekmi uz jau īstenošanā esošajiem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spēkā esošajām vadošās iestādes vadlīnijām Nr. 1.2 “Vadlīnijas attiecināmo izmaksu noteikšanai Eiropas Savienības kohēzijas politikas programmas 2021.-2027.gada plānošanas periodā”, noteikumu projektā ir pievienots jauns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22.9. apakšpunktā minētās izmaksas nepārsniedz 10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ņemti vērā vadošās iestādes vadlīniju Nr. 1.2 “Vadlīnijas attiecināmo izmaksu noteikšanai Eiropas Savienības kohēzijas politikas programmas 2021.-2027.gada plānošanas periodā” spēkā esošā redakcija. Pēc noteikumu projekta apstiprināšanas un vadlīniju Nr. 1.2 grozījumu apstiprināšanas atbildīgā iestāde vajadzības gadījumā vērtēs, vai noteikumos veicami grozījumi, balstoties uz aktuālo vadošās iestādes vadlīniju Nr. 1.2 redakciju, ievērojot visus tajā ietvertos nosacījumus, t.sk. pārvērtējot visas izmaksu pozīcijas, attiecināšanas nosacījumus un izmaiņu ietekmi uz jau īstenošanā esošo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22.12. </w:t>
            </w:r>
            <w:r w:rsidR="00000000" w:rsidRPr="00000000" w:rsidDel="00000000">
              <w:rPr>
                <w:rtl w:val="0"/>
              </w:rPr>
              <w:t xml:space="preserve">apakšpunktā</w:t>
            </w:r>
            <w:r w:rsidR="00000000" w:rsidRPr="00000000" w:rsidDel="00000000">
              <w:rPr>
                <w:rtl w:val="0"/>
              </w:rPr>
              <w:t xml:space="preserve"> minētajām tiešajām attiecināmajām personāla izmaksām. Netiešo izmaksu vienoto likmi piemēro personāla izmaksām, kuras radušās uz darba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Specifiskā atbalsta ietvaros izmaksas ir attiecināmas no dienas, kad atbilstoši </w:t>
            </w:r>
            <w:r w:rsidR="00000000" w:rsidRPr="00000000" w:rsidDel="00000000">
              <w:rPr>
                <w:rtl w:val="0"/>
              </w:rPr>
              <w:t xml:space="preserve">regulas 2021/1060</w:t>
            </w:r>
            <w:r w:rsidR="00000000" w:rsidRPr="00000000" w:rsidDel="00000000">
              <w:rPr>
                <w:rtl w:val="0"/>
              </w:rPr>
              <w:t xml:space="preserve"> 63.panta 7.punktam Eiropas Komisijai ir iesniegts Eiropas Savienības kohēzijas politikas programmas 2021.–2027.gadam grozījumu pieprasījums, kas paredz specifiskā atbalsta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27.punktu, lūdzam papildināt Ministru kabineta protokollēmumu ar punktu par rīcību, gadījumā, ja Eiropas Komisija neapstiprina  Eiropas Savienības kohēzijas politikas programmas 2021.–2027.gadam grozījumu pieprasījumu, kas paredz šī specifiskā atbalsta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netiek noteikts konkrēts izmaksu attiecināmības sākuma datums, lūdzam anotāciju papildināt ar informāciju, kurš un kādā veidā informēs finansējuma saņēmēju par konkrēto datumu, no kura izmaksas būs 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27.punktu papildināt ar nosacījumu, ka projekta ietvaros nedrīkst attiecināt jau pabeigtas darbības, t.i., darbības, kas jau pabeigtas pirms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ir papildināts ar jaunu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informēt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atbilstoši regulas 2021/1060 63.panta 7.punktam Eiropas Komisijai tiks iesniegts Programmas grozījumu pieprasījums, kas paredz 3.2.1.SAM īstenošanu, atbildīgā iestāde par to informēs finansējuma saņēmēju un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ir papildināts ar jaunu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neiekļauj pabeigtas darbības un finansējumu tām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iesniegumā neiekļauj un finansējumu nepiešķir pabeigtām darbībām. Būvniecības gadījumā ar darbību (tai skaitā “pabeigtu darbību”) būtu saprotams projekts kopumā, proti, pieņemot, ka pabeigta darbība ir pilnībā pabeigti darbi/projekts, piemēram, tilts ir nodots ekspluatācijā. Līdz ar to, nosacījums par pabeigtām darbībām nebūtu/nav attiecināms uz atsevišķiem projekta posmiem, piemēram, iepirkumu veikšanu, projektēšanu, vides piekļūstamības ekspertu konsultācijām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Specifiskā atbalsta ietvaros izmaksas ir attiecināmas no dienas, kad atbilstoši </w:t>
            </w:r>
            <w:r w:rsidR="00000000" w:rsidRPr="00000000" w:rsidDel="00000000">
              <w:rPr>
                <w:rtl w:val="0"/>
              </w:rPr>
              <w:t xml:space="preserve">regulas 2021/1060</w:t>
            </w:r>
            <w:r w:rsidR="00000000" w:rsidRPr="00000000" w:rsidDel="00000000">
              <w:rPr>
                <w:rtl w:val="0"/>
              </w:rPr>
              <w:t xml:space="preserve"> 63.panta 7.punktam Eiropas Komisijai ir iesniegts Eiropas Savienības kohēzijas politikas programmas 2021.–2027.gadam grozījumu pieprasījums, kas paredz specifiskā atbalsta īstenošanu. Projekta iesniegumā neiekļauj pabeigtas darbības un finansējumu tām nepiešķir.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uzkrāj datus par projektā sasniegto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minēto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noteikumu projekta 7.1. apakšpunktā noteikto datu uzkrāšanas mērķi , vienlaikus aicinām izvērtēt vai noteikumu projektā nav jānosaka, ka finansējuma saņēmējam jāuzkrāj dati arī par noteikumu projekta 7.2. apakšpunktā noteiktajiem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papildināta ar informāciju par noteikumu projekta 7.1. un 7.2. apakšpunktā noteikto datu uzkrāšanas mērķi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finansējuma saņēmējs nodrošina datu uzkrāšanu par iznākuma rādītāju RCO 46 “Rekonstruēto vai modernizēto autoceļu garums – ārpus TEN-T” un rezultāta rādītāju RCR 55 “Jaunuzbūvēto, rekonstruēto, jaunināto vai modernizēto autoceļu lietotāju skaits gadā” atbilstoši Eiropas Parlamenta un Padomes Regulas (ES) 2021/1058 (2021.gada 24.jūnijs) par Eiropas Reģionālās attīstības fondu un Kohēzijas fondu 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29.1.apakšpunkts ir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uzkrāj datus par projektā sasniegtajiem šo noteikumu 7.1. un 7.2. apakšpunktā minētajiem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uzkrāj datus par projektā sasniegtajiem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minētajiem rādītājiem;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horizontālo principu "Vienlīdzība, iekļaušana, nediskriminācija un pamattiesību ievērošana" un uzkrāj datus par projekta ietekmi uz horizontālā principa rādītāju – sabiedriskā transporta vienību skaitu, kuros Kohēzijas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29.2. apakšpunktā ietverto rādītāju, jo tas nav attiecināms uz pasākumu. Tāpat aicinām izvērtēt iespēju papildināt noteikumu projektu ar sasniedzamo rādītāju VINPI_12.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horizontālo principu "Vienlīdzība, iekļaušana, nediskriminācija un pamattiesību ievērošana" un uzkrāj datus par projekta ietekmi uz horizontālā principa rādītāju – objektu skaits, kuros Kohēzijas fonda ieguldījumu rezultātā ir nodrošināta vides un informācijas piekļūstamība - un citiem horizontālo principu rādītājiem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30.2. apakšpunkts precizēts, paredzot, ka 3.2.1.SAM ietvaros finansējuma saņēmējs uzkrāj datus par projekta ietekmi uz horizontālā principa rādītāju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ievēro horizontālo principu "Vienlīdzība, iekļaušana, nediskriminācija un pamattiesību ievērošana" un uzkrāj datus par projekta ietekmi uz horizontālā principa rādītāju – objektu, kuros Eiropas Reģionālās attīstības fonda ieguldījumu rezultātā ir nodrošināta vides un informācijas piekļūstamība,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ievēro horizontālo principu "Vienlīdzība, iekļaušana, nediskriminācija un pamattiesību ievērošana" un uzkrāj datus par projekta ietekmi uz horizontālā principa rādītāju – objektu, kuros Eiropas Reģionālās attīstības fonda ieguldījumu rezultātā ir nodrošināta vides un informācijas piekļūstamība,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horizontālo principu "Vienlīdzība, iekļaušana, nediskriminācija un pamattiesību ievērošana" un uzkrāj datus par projekta ietekmi uz horizontālā principa rādītāju – sabiedriskā transporta vienību skaitu, kuros Kohēzijas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HP VINPI rādītāju  "sabiedriskā transporta vienību skaitu, kuros Kohēzijas fonda ieguldījumu rezultātā ir nodrošināta vides un informācijas piekļūstamība", jo tas neizriet no projekta projekta satura un atbalstāmajām darbībām, proti, projekta ietvaros nav plānots iegādāties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tiek plānoti civilās aizsardzības pasākumi, aicinām izvēlēties HP rādītāju </w:t>
            </w:r>
            <w:r w:rsidR="00000000" w:rsidRPr="00000000" w:rsidDel="00000000">
              <w:rPr>
                <w:b w:val="1"/>
                <w:rtl w:val="0"/>
              </w:rPr>
              <w:t xml:space="preserve">"Civilās aizsardzības pasākumu,  kuros ir nodrošināti piekļūstami pakalpojumi un informācija personām ar funkcionēšanas ierobežojumiem, skaits" </w:t>
            </w:r>
            <w:r w:rsidR="00000000" w:rsidRPr="00000000" w:rsidDel="00000000">
              <w:rPr>
                <w:rtl w:val="0"/>
              </w:rPr>
              <w:t xml:space="preserve">(VINPI_13).  Ar rādītājā minēto civilās aizsardzības pasākumu skaitu saprot objektu skaitu to adreses vai kadastra numura līmenī. Piemēram, ja projekta īstenošanas rezultātā tiks pielāgots un aprīkots civilās aizsardzības mērķiem 1 tilts, un tajā ir nodrošināta vides un informācijas piekļūstamība personām ar funkcionēšanas ierobežojumiem, tad HP VINPI rādītājā būs jānorāda "1".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ievēro horizontālo principu "Vienlīdzība, iekļaušana, nediskriminācija un pamattiesību ievērošana" un uzkrāj datus par projekta ietekmi uz horizontālā principa rādītāju – civilās aizsardzības pasākumu,  kuros ir nodrošināti piekļūstami pakalpojumi un informācija personām ar funkcionēšanas ierobežojumiem,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3.2.1.SAM ietvaros plānotajām darbībām projekts radīs ietekmi uz horizontālā principa rādītāju VINPI_12 “Objektu, kuros Eiropas Reģionālās attīstības fonda ieguldījumu rezultātā ir nodrošināta vides un informācijas piekļūstamība, skaitu”. 3.2.1.SAM ietvaros projektā nav paredzēts radīt ietekmi uz horizontālā principa rādītāju VINPI_13.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projekta 30.2.apakšpunkts ir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ievēro horizontālo principu "Vienlīdzība, iekļaušana, nediskriminācija un pamattiesību ievērošana" un uzkrāj datus par projekta ietekmi uz horizontālā principa rādītāju – objektu, kuros Eiropas Reģionālās attīstības fonda ieguldījumu rezultātā ir nodrošināta vides un informācijas piekļūstamība,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ievēro horizontālo principu "Vienlīdzība, iekļaušana, nediskriminācija un pamattiesību ievērošana" un uzkrāj datus par projekta ietekmi uz horizontālā principa rādītāju – objektu, kuros Eiropas Reģionālās attīstības fonda ieguldījumu rezultātā ir nodrošināta vides un informācijas piekļūstamība,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nodrošina projekta īstenošanā radīto vērtību atbilstošu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29.7.apakšpunktu ar informāciju, no kādiem līdzekļiem tiks nodrošināta rezultātu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30.7.apakšpunkts ir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nodrošina projekta īstenošanā radīto vērtību atbilstošu uzturēšanu par saviem vai papildus piesaistītajiem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nodrošina projekta īstenošanā radīto vērtību atbilstošu uzturēšanu par saviem vai papildus piesaistītajiem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 ja attiecināms, projekta ietvaros, veicot iepirkumus, nodrošina vides prasību integrāciju preču un pakalpojumu iepirkumos, kā arī publiskos iepirkumus īsteno sociāli atbildīgā veidā, piemērojot sociāli atbildīgā publiskā iepirkuma un inovatīvā publiskā iepirkuma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nolūkā lūdzam izvērtēt iespēju pārskatīt noteikumu projekta 29.12.apakšpunkta redakciju, paredzot sociāli atbildīgā iepirkuma un inovatīva publiskā iepirkuma piemērošanu kā iespēju, nevis obligātu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izvērtēt nepieciešamību salāgot noteikumu projekta redakciju ar anotācijā norādīto, kur minēts, ka iepirkuma procedūras veikšanā ir atbalstāma vides prasību integrācija preču un pakalpojumu iepirkumos (</w:t>
            </w:r>
            <w:r w:rsidR="00000000" w:rsidRPr="00000000" w:rsidDel="00000000">
              <w:rPr>
                <w:b w:val="1"/>
                <w:rtl w:val="0"/>
              </w:rPr>
              <w:t xml:space="preserve">zaļais publiskais iepirkums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30.12.apakšpunkts ir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 attiecināms, projekta ietvaros, veicot iepirkumus, nodrošina vides prasību integrāciju preču un pakalpojumu iepirkumos (zaļais publiskais iepirkums), un, kur tas ir attiecināms un atbilstošs ieguldījumu specifikai, publiskos iepirkumus var īstenot sociāli atbildīgā veidā, piemērojot sociāli atbildīgā publiskā iepirkuma un inovatīvā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30.12.apakšpunkta precizētā redakcija paredz sociāli atbildīgā iepirkuma un inovatīva publiskā iepirkuma piemērošanu kā iespēju, nevis obligātu pienākumu.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 attiecināms, projekta ietvaros, veicot iepirkumus, nodrošina vides prasību integrāciju preču un pakalpojumu iepirkumos (zaļais publiskais iepirkums), un, kur tas ir attiecināms un atbilstošs ieguldījumu specifikai, publiskos iepirkumus var īstenot sociāli atbildīgā veidā, piemērojot sociāli atbildīgā publiskā iepirkuma un inovatīvā publiskā iepirkuma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aprakstā aicinām mainīt rādītāju uz “Civilās aizsardzības pasākumu,  kuros ir nodrošināti piekļūstami pakalpojumi un informācija personām ar funkcionēšanas ierobežojumiem, skaits” (VINPI_13).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LM priekšlikumu pie MKN 29.2. 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3.2.1.SAM ietvaros plānotajām darbībām projekts radīs ietekmi uz horizontālā principa rādītāju VINPI_12 “Objektu, kuros Eiropas Reģionālās attīstības fonda ieguldījumu rezultātā ir nodrošināta vides un informācijas piekļūstamība, skaitu”. 3.2.1.SAM ietvaros projektā nav paredzēts radīt ietekmi uz horizontālā principa rādītāju VINPI_13. Šis skaidrojums ir elektroniski saskaņots ar priekšlikuma sagatavotāju 20.05.2025.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5.3. apakšpunktu, kā arī punktā “Cita informācija” otrajā teikumā vārdus “Minētais finansējums” aizstāt ar vārdiem “ERAF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5.3.apakšpunkts ir aizpildīts. Anotācijas 3.sadaļas punktā “Cita informācija” otrajā teikumā frāze ‘minētais finansējums’ ir aizstāta ar frāzi ‘Eiropas Reģionālās attīstības fonda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noteikt HP VINPI rādītāju “Civilās aizsardzības pasākumu,  kuros ir nodrošināti piekļūstami pakalpojumi un informācija personām ar funkcionēšanas ierobežojumiem, skaits” (VINPI_13) (skat.LM priekšlikumu pie MKN 29.2.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specifiskā darbība saistībā ar ārtelpas apgaismojumu attiecas uz dzimumu līdztiesības jomu. Lūdzam svītrot šeit un pārcelt uz 8.1.10.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dzēst pievienotās trīs uz VINPI_12 rādītāju attiecināmās specifiskās darbības, jo civilās aizsardzības pasākumi tiek uzskaitīti  rādītājā VINPI_13.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papildināt sadaļu ar HP VINPI rādītājiem atbilstošu specifisko darbību piemēriem.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uzkrāj datus par projekta ietekmi uz horizontālā principa rādītāju - </w:t>
            </w:r>
            <w:r w:rsidR="00000000" w:rsidRPr="00000000" w:rsidDel="00000000">
              <w:rPr>
                <w:b w:val="1"/>
                <w:rtl w:val="0"/>
              </w:rPr>
              <w:t xml:space="preserve">civilās aizsardzības pasākumu,  kuros ir nodrošināti piekļūstami pakalpojumi un informācija personām ar funkcionēšanas ierobežojumiem, skaits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projekta ietvaros tiks īstenotas specifiskas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tiks īstenoti civilās aizsardzības pasākumi, kuros ir ņemtas vērā personām ar funkcionēšanas ierobežojumiem vienlīdz efektīvas pakalpojumu un informācijas nodrošināšanas iespējas (atbilstošais rādītājs VINPI_13);</w:t>
            </w:r>
            <w:r w:rsidR="00000000" w:rsidRPr="00000000" w:rsidDel="00000000">
              <w:rPr>
                <w:b w:val="1"/>
                <w:rtl w:val="0"/>
              </w:rPr>
              <w:t xml:space="preserve">- tiks nodrošināti konsultatīva rakstura pasākumi par vides un informācijas, aprīkojuma, informācijas tehnoloģiju risinājumu piekļūstamību personām ar dažādiem funkcionēšanas ierobežojumiem  (attiecīgi pievienojot dokumentus, piem. konsultāciju protokolus u.c.) (atbilstošais rādītājs VINPI_18).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atbilstoši 3.2.1.SAM ietvaros plānotajām darbībām projekts radīs ietekmi uz horizontālā principa rādītāju VINPI_12 “Objektu, kuros Eiropas Reģionālās attīstības fonda ieguldījumu rezultātā ir nodrošināta vides un informācijas piekļūstamība, skaitu”. 3.2.1.SAM ietvaros projektā nav paredzēts radīt ietekmi uz horizontālā principa rādītāju VINPI_13.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 darbība saistībā ar ārtelpas apgaismojumu ir pārcelta no 8.1.9.sadaļas uz 8.1.10.sadaļu.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8.1.9.sadaļā tiek saglabātas specifiskās darbības, kas attiecas uz VINPI_12 rādītāju, jo 3.2.1.SAM ietvaros paredzēts, ka projekts radīs ietekmi uz horizontālā principa rādītāju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8.1.9.sadaļā minētie piemēri attiecas uz VINPI_12 rādītāju. 3.2.1.SAM ietvaros projektā nav paredzēts radīt ietekmi uz horizontālā principa rādītāju VINPI_13.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vispārīgo darbību piemērus atbilstoši Vadlīnijām “Horizontālais princips “Vienlīdzība, iekļaušana, nediskriminācija un pamattiesību ievērošana”. Vadlīnijas īstenošanai un uzraudzībai (2021-2027)”, kā arī papildināt sadaļu ar citu vispārīgo un specifisko darbību piemēriem. Aicinām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Pasākuma projektā tiek plānotas vispārīgas </w:t>
            </w:r>
            <w:r w:rsidR="00000000" w:rsidRPr="00000000" w:rsidDel="00000000">
              <w:rPr>
                <w:b w:val="1"/>
                <w:rtl w:val="0"/>
              </w:rPr>
              <w:t xml:space="preserve">un specifiskas</w:t>
            </w:r>
            <w:r w:rsidR="00000000" w:rsidRPr="00000000" w:rsidDel="00000000">
              <w:rPr>
                <w:rtl w:val="0"/>
              </w:rPr>
              <w:t xml:space="preserve"> horizontālā principa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Vispārīgo darbību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darbības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ārtelpā būtu ērti un droši pārvietoties visiem, īpaši sievietēm un vecāka gadagājuma cilvēkiem, tiks ierīkots ārtelpas apgaismojums. Labs apgaismojums mazinās riskus vardarbībai, aizskaršanai/apdraudējumam (atbilstošais rādītājs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8.1.10.sadaļa ir papildināta un precizēta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norādīt, ka projektu iesniegumu vērtēšanā tiks piemērots specifiskais atbilstības HP VINPI vērtēšanas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papildināt sadaļu ar informāciju, ka projekta īstenošanā ir atbalstāms sociāli atbildīgs iepirkums,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precizēt atsauci uz LM izstrādātajām Vadlīnijām “Horizontālais princips “Vienlīdzība, iekļaušana, nediskriminācija un pamattiesību ievērošana”. Vadlīnijas īstenošanai un uzraudzībai (2021-2027)”. Vadlīnijas ir pieejamas šeit: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ar ES fondu Uzraudzības komitejas 2021.-2027.gadam 2025.gada 9.jūnija lēmumu Nr.2025/5.2-6/16/41 3.2.1.SAM ir iekļauts sarakstā “Ierobežotas projektu iesniegumu atlases, kurām piemērojams izņēmums attiecībā uz vienoto izvēles kritēriju un vienoto kritēriju izmantošanu”. Līdz ar to 3.2.1.SAM projekta iesnieguma vērtēšanas kritērijos plānots iekļaut tikai vienotos kritērijus un vienotos izvēles kritērijus. Savukārt HP VINPI vērtēšana notiks, vērtējot iesniegto projekta iesniegumu atbilstoši projekta iesniegumu aizpildīšanas metodikā noteiktajam. Ņemot vērā minēto, anotācijas 8.2.sadaļa ir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VINPI vērtēšana notiks, vērtējot iesniegto projekta iesniegumu atbilstoši projekta iesniegumu aizpildīšanas metodikā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8.2.sadaļa ir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veicot iepirkumus, ja attiecināms, nodrošina vides prasību integrāciju preču un pakalpojumu iepirkumos (zaļais publiskais iepirkums), un, kur tas ir attiecināms un atbilstošs ieguldījumu specifikai, publiskos iepirkumus var īstenot sociāli atbildīgā veidā, piemērojot sociāli atbildīgā publiskā iepirkuma un inovatīvā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8.2.sadaļā ir aktualizēta saite uz Labklājības ministrijas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25-TA-523</w:t>
    </w:r>
    <w:r>
      <w:br/>
    </w:r>
    <w:r w:rsidR="00000000" w:rsidRPr="00000000" w:rsidDel="00000000">
      <w:rPr>
        <w:rtl w:val="0"/>
      </w:rPr>
      <w:t xml:space="preserve">18.06.2025. 12.04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25-TA-523</w:t>
    </w:r>
    <w:r>
      <w:br/>
    </w:r>
    <w:r w:rsidR="00000000" w:rsidRPr="00000000" w:rsidDel="00000000">
      <w:rPr>
        <w:rtl w:val="0"/>
      </w:rPr>
      <w:t xml:space="preserve">18.06.2025. 12.04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Izziņa_25-TA-523.docx</dc:title>
</cp:coreProperties>
</file>

<file path=docProps/custom.xml><?xml version="1.0" encoding="utf-8"?>
<Properties xmlns="http://schemas.openxmlformats.org/officeDocument/2006/custom-properties" xmlns:vt="http://schemas.openxmlformats.org/officeDocument/2006/docPropsVTypes"/>
</file>