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12:06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Ministru kabineta (turpmāk – MK) noteikumu grozījumu projekta 10.punktā izteikto 14.</w:t>
            </w:r>
            <w:r w:rsidR="00000000" w:rsidRPr="00000000" w:rsidDel="00000000">
              <w:rPr>
                <w:vertAlign w:val="superscript"/>
                <w:rtl w:val="0"/>
              </w:rPr>
              <w:t xml:space="preserve">1</w:t>
            </w:r>
            <w:r w:rsidR="00000000" w:rsidRPr="00000000" w:rsidDel="00000000">
              <w:rPr>
                <w:rtl w:val="0"/>
              </w:rPr>
              <w:t xml:space="preserve"> punktu tiek papildināts publisko resursu saņēmēju loks, paredzot, ka finansējuma saņēmējs šo noteikumu 20.7. apakšpunktā minētās atbalstāmās darbības (ēku, kurās sniedz publiskos pakalpojumus, vides pieejamības nodrošināšana) īstenošanā var piesaistīt sadarbības partneri – pašvaldības iestādi, pašvaldības kapitālsabiedrību vai pašvaldības kontrolētu kapitālsabiedrību, kas pašvaldības administratīvajā teritorijā nodrošina publisko pakalpojumu sniegšanu, lūdzam papildināt MK noteikumu projekta anotāciju ar izvērtējumu komercdarbības atbalsta kontroles kontekstā. Izvērējumā lūdzam skaidrot, vai publiskā finansējuma piešķiršana piesaistītajiem sadarbības partneriem to veiktajām aktivitātēm (pašvaldību kultūras, izglītības, sporta un veselības pakalpojumu infrastruktūras vides pieejamības uzlabošanas pasākumi) izpilda visas Komercdarbības atbalsta kontroles likuma (turpmāk – KAKL) 5.pantā minētās komercdarbības atbalstu raksturojošās pazīmes un gadījumā, ja tiek secināts, ka pasākums kvalificējas kā komercdarbības atbalsts, lūdzam papildināt MK noteikumu projektu ar piemērojamā komercdarbības atbalsta regulējuma nosacījumiem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1.6. “Cita informācija” papildināta ar komercdarbības atbalsta izvērtējumu. Papildus 2023. gada 5. septembra noteikumi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papildināti ar jaunu 31.</w:t>
            </w:r>
            <w:r w:rsidR="00000000" w:rsidRPr="00000000" w:rsidDel="00000000">
              <w:rPr>
                <w:vertAlign w:val="superscript"/>
                <w:rtl w:val="0"/>
              </w:rPr>
              <w:t xml:space="preserve">1</w:t>
            </w:r>
            <w:r w:rsidR="00000000" w:rsidRPr="00000000" w:rsidDel="00000000">
              <w:rPr>
                <w:rtl w:val="0"/>
              </w:rPr>
              <w:t xml:space="preserve"> punktu. Tas paredz pienākumu finansējuma saņēmējam atmaksāt saņemto nelikumīgo komercdarbības atbalstu, ja tiek konstatēts, ka projekta īstenošanas laikā un 20.7. apakšpunktā minētās atbalstāmās darbības ietvaros ēkā veikto ieguldījumu lietderīgas izmantošanas termiņā, kas nav mazāks par pieciem gadiem pēc noslēguma maksājuma veikšanas datuma, mainās ēkā veikto vides pieejamības pielāgojumu izmantošanas mērķis, uzsākot saimniecisko darbību, kas klasificējama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3.1.2.1.i. investīcijas pirmās kārtas finansējumu, pēc minētās pārdales, lai nodrošinātu finansējuma izmaiņu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ar  3.1.2.1.i investīcijas pirmās kārtas Atveseļošanas fonda finansējumu pēc finansējuma pārdales.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paredz, ka saskaņā ar Eiropas Savienības fondu tematiskās komitejas 2025. gada 28. augusta sēdē pieņemto lēmumu 3.1.2.1.i. investīcijā konstatētie AF finansējuma atlikumi 333 084 euro apmērā (t.sk. no 3.1.2.1.i. investīcijas pirmās kārtas – 259 859 euro, otrās kārtas – 73 225 euro) ir pārdalāmi Ekonomikas ministrijas 3.1.1.7.i. investīcijas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Ekonomikas ministrija ir izstrādājusi un  saskaņošanā atrodas atbilstoši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(25-TA-2548), tai skaitā par AF finansējuma atlikumu 333 084 euro apmērā pārdali no 3.1.2.1.i. investīcijas (abām kārtām) uz 3.1.1.7.i. investīciju “Aizdevumi nekustamā īpašuma attīstītājiem zemas īres maksas mājokļu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ieraksts par TAP saskaņošanā esošajiem EM 3.1.1.7.i  MK noteikumu Nr. 459 grozījumiem (25-TA-2548).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“Risinājuma apraksts” 2.punktā minēti MK 2023.gada 5.septembra noteikumu Nr.512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noteikumi Nr.512) apakšpunkti, kuros veikti precizējumi saistībā ar mērķrādītājiem. Lūdzam pārbaudīt otrā teikuma iekavās ietvertās atsauces, ņemot vērā, ka noteikumu 8.1.1.apakšpunktā nav veiktas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sadaļas “Pašreizējā situācija, problēmas un risinājumi” apakšsadaļas “Risinājuma apraksts” 2.punktā precizēta atsauce uz MK noteikumu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6.2.apakšpunktu, norādot ministriju un tās budžeta attiecīgo apakšprogrammu, kurā tiek plānots finansējums 3.1.2.1.i. investīcijas otrās kārtas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sadaļas “Tiesību akta projekta ietekme uz valsts budžetu un pašvaldību budžetiem” 6.2. apakšpunkts ar informāciju, ka 3.1.2.1.i. investīcijas otrās kārtas projektu īstenošanai finansējums tiek plānots Finanšu ministrijas valsts budžeta apakšprogrammā 74.07.00 "Atveseļošanas un noturības mehānisma (ANM) finansējums projektu un pasākumu īstenotājiem".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6.2.apakšpunktu ar informāciju atbilstoši grozījumiem noteikumu Nr.512 24.2.apakšpuktā - ja projektā īsteno šo noteikumu 20.7. apakšpunktā minēto atbalstāmo darbību (ēku, kurās sniedz publiskos pakalpojumus, vides pieejamības nodrošināšana), PVN izmaksas tiek segtas no pašvaldības budžeta vai privātā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“Tiesību akta projekta ietekme uz valsts budžetu un pašvaldību budžetiem”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6.1.punktā “detalizēts ieņēmumu aprēķins” lūdzam precizēt kopējo Atveseļošanas un noturības mehānisma (turpmāk – AF) finansējumu, ietverot samazinājumu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“Tiesību akta projekta ietekme uz valsts budžetu un pašvaldību budžetiem” 6.1.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informēt Ministru kabinetu par turpmāko rīcību gadījumā, ja Eiropas Komisija neatbalsta Atveseļošanas un noturības mehānisma plāna un Darbības kārtības, par kuru vienojas Eiropas Komisija un Latvija, grozījumu priekšlikumu attiecībā uz 3.1.2.1.i. investīcijas "Publisko pakalpojumu un nodarbinātības pieejamības veicināšanas pasākumi cilvēkiem ar funkcionāliem traucējumiem" otrās kārtas "Atbalsta pasākumi cilvēkiem ar invaliditāti mājokļu vides pieejamības nodrošināšanai" 117. mērķrādītāja "Līdz 2026. gada 30. jūnijam nodrošināta pieejamība mājokļa videi 250 personām ar invaliditāti." pagarināt rādītāja sasniegšanu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uzdevumu pēc vārdiem "attiecībā uz".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informēt Ministru kabinetu par turpmāko rīcību gadījumā, ja Eiropas Komisija neatbalsta Atveseļošanas un noturības mehānisma plāna un Darbības kārtības, par kuru vienojas Eiropas Komisija un Latvija, grozījumu priekšlikumu attiecībā uz termiņu 3.1.2.1.i. investīcijas "Publisko pakalpojumu un nodarbinātības pieejamības veicināšanas pasākumi cilvēkiem ar funkcionāliem traucējumiem" otrās kārtas "Atbalsta pasākumi cilvēkiem ar invaliditāti mājokļu vides pieejamības nodrošināšanai" 117. mērķrādītāja "Līdz 2026. gada 30. jūnijam nodrošināta pieejamība mājokļa videi 250 personām ar invaliditāti." sasniegšanai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2025. gada 12.decembrī Eiropas Savienības Ekonomisko un finanšu jautājumu padomes (ECOFIN) sanāksmes laikā ir apstiprināti AF plāna grozījumi Nr. 3., MK protokollēmuma 4. punkts ir zaudējis aktualitāti un ir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Labklājības ministrijai pārdalīt Atveseļošanas fonda finansējumu no 3.1.2.1.i. investīcijas pirmās kārtas “Valsts un pašvaldību ēku vides pieejamības nodrošināšanas pasākumi” projektiem uz 3.1.2.1.i. investīcijas otrās kārtās projektiem un veikt Atveseļošanas fonda finansējuma izmaiņas abu 3.1.2.1.i. investīcijas kārtu Ministru kabineta noteikumos kopā ar kārtējiem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potenciālo kopējo atlikumu apjomu 3.1.2.1.i. investīcijas ietvaros, ņemot vērā, ka atbilstoši Eiropas Savienības fondu tematiskās komitejas 2025. gada 28. augusta sēdē pieņemtajam lēmumam noteikts, ka par AF atlikumu, kas radušies AF investīcijas ietvaros un sasniedz vismaz 1 milj. euro, izmantošanu turpmāk lemt Eiropas Savienības fondu tematiskajā ministru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šobrīd nav iespējams prognozēt precīzu finansējuma atlikuma summu 3.1.2.1.i. investīcijas ietvaros. Taču prognozējams, ka finansējuma atlikumi vairs nepārsniegs 1 milj. euro (3.1.2.1.i. investīcijas finanšu ietilpīgāko finansējumu atlikumu izmantošana jau ir saskaņota  ministru Eiropas Savienības fondu tematiskās komitejas sēdē un novirzīta EM investīcijām).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Labklājības ministrijai pārdalīt Atveseļošanas fonda finansējumu no 3.1.2.1.i. investīcijas pirmās kārtas “Valsts un pašvaldību ēku vides pieejamības nodrošināšanas pasākumi” projektiem uz 3.1.2.1.i. investīcijas otrās kārtās projektiem un veikt Atveseļošanas fonda finansējuma izmaiņas abu 3.1.2.1.i. investīcijas kārtu Ministru kabineta noteikumos kopā ar kārtējiem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lēmuma projekta 5. punktu. Norādām, ka Ministru kabineta 2009. gada 3. februāra noteikumu Nr. 108 "Normatīvo aktu projektu sagatavošanas noteikumi" (turpmāk - noteikumi Nr. 108) 3.</w:t>
            </w:r>
            <w:r w:rsidR="00000000" w:rsidRPr="00000000" w:rsidDel="00000000">
              <w:rPr>
                <w:vertAlign w:val="superscript"/>
                <w:rtl w:val="0"/>
              </w:rPr>
              <w:t xml:space="preserve">1</w:t>
            </w:r>
            <w:r w:rsidR="00000000" w:rsidRPr="00000000" w:rsidDel="00000000">
              <w:rPr>
                <w:rtl w:val="0"/>
              </w:rPr>
              <w:t xml:space="preserve"> punkts paredz, ka normatīvā akta grozījumus sagatavo, ja normatīvo aktu nepieciešams grozīt pēc būtības. Redakcionālus precizējumus sagatavo vienlaikus ar normatīvā akta grozījumiem pēc būtības. Attiecīgi, ja nepieciešams veikt grozījumus 3.1.2.1.i. investīcijas pirmās kārtas “Valsts un pašvaldību ēku vides pieejamības nodrošināšanas pasākumi” noteikumos, tad tie ir attiecīgi veicami, nepieciešamības gadījumā sākotnēji paredzot lēmuma projektā uzdevumu noteiktā termiņā sagatavot attiecīgu tiesību aktu projektu,  savukārt, ja nav nepieciešams, tad nav pieļaujams dublēt noteikumos Nr. 108 minēto. Turklāt vēršam uzmanību, ka nav saprotams, kādas vēl izmaiņas jāveic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jo noteikumu projektā jau ir paredzētas izmaiņas šajos noteikumos, tostarp attiecībā uz finansējuma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5.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Labklājības ministrijai pārdalīt Atveseļošanas fonda finansējumu no 3.1.2.1.i. investīcijas pirmās kārtas “Valsts un pašvaldību ēku vides pieejamības nodrošināšanas pasākumi” projektiem uz 3.1.2.1.i. investīcijas otrās kārtās projektiem un veikt Atveseļošanas fonda finansējuma izmaiņas abu 3.1.2.1.i. investīcijas kārtu Ministru kabineta noteikumos kopā ar kārtējiem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viennozīmīgi interpretējams MK sēdes protokollēmuma projekta 5. punktā un anotācijas 1.6. sadaļā minētais par to, ka tiek paredzēts MK lēmums </w:t>
            </w:r>
            <w:r w:rsidR="00000000" w:rsidRPr="00000000" w:rsidDel="00000000">
              <w:rPr>
                <w:i w:val="1"/>
                <w:rtl w:val="0"/>
              </w:rPr>
              <w:t xml:space="preserve">atļaut Labklājības ministrijai pārdalīt Atveseļošanas un noturības mehānisma finansējumu no 3.1.2.1.i. investīcijas pirmās kārtas “Valsts un pašvaldību ēku vides pieejamības nodrošināšanas pasākumi” projektiem uz 3.1.2.1.i. investīcijas otrās kārtās "Atbalsta pasākumi cilvēkiem ar invaliditāti mājokļu vides pieejamības nodrošināšanai" projektiem un veikt Atveseļošanas un noturības mehānisma finansējuma izmaiņas abu 3.1.2.1.i. investīcijas kārtu Ministru kabineta noteikumos kopā ar kārtējiem grozījumiem</w:t>
            </w:r>
            <w:r w:rsidR="00000000" w:rsidRPr="00000000" w:rsidDel="00000000">
              <w:rPr>
                <w:rtl w:val="0"/>
              </w:rPr>
              <w:t xml:space="preserve">. Attiecīgā informācija savstarpēji nesakrīt, ņemot vērā, ka no MK sēdes protokollēmuma projekta 5. punkta viennozīmīgi neizriet, ka finansējuma pārdales tiek atļautas </w:t>
            </w:r>
            <w:r w:rsidR="00000000" w:rsidRPr="00000000" w:rsidDel="00000000">
              <w:rPr>
                <w:u w:val="single"/>
                <w:rtl w:val="0"/>
              </w:rPr>
              <w:t xml:space="preserve">bez atbilstošu grozījumu veikšanas</w:t>
            </w:r>
            <w:r w:rsidR="00000000" w:rsidRPr="00000000" w:rsidDel="00000000">
              <w:rPr>
                <w:rtl w:val="0"/>
              </w:rPr>
              <w:t xml:space="preserve"> MK noteikumos par 3.1.2.1.i. investīcijas pirmās kārtas un 3.1.2.1.i. investīcijas otrās kārtas īstenošanu. Turklāt nav viennozīmīgi saprotama nosacījuma būtība un plānotā ieviešana. Minētais var radīt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skaidrot anotācijā šī nosacījuma būtību un kā to paredzēts ieviest praksē, lai nodrošinātu AF finansējuma pārdaļu izsekojamību, un veikt atbilstošus precizējumus viennozīmīgai nosacījuma interpretācijai.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5.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mērķrādītājs – līdz 2026. gada 31. augustam mājokļu pielāgošana.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Nr. 512 7.2. apakšpunkta plānoto redakciju, ņemot vērā, ka ar noteikumu projektu no minētā apakšpunkta tiek svītrots mērķa grupas personu skaits, savukārt anotācijas 1.3. sadaļā skaidrots, ka mērķrādītājā personu skaits tiek samazināts no 259 uz 250 personām, kā arī ir precizēts noteikumu Nr. 512 19.</w:t>
            </w:r>
            <w:r w:rsidR="00000000" w:rsidRPr="00000000" w:rsidDel="00000000">
              <w:rPr>
                <w:vertAlign w:val="superscript"/>
                <w:rtl w:val="0"/>
              </w:rPr>
              <w:t xml:space="preserve">1</w:t>
            </w:r>
            <w:r w:rsidR="00000000" w:rsidRPr="00000000" w:rsidDel="00000000">
              <w:rPr>
                <w:rtl w:val="0"/>
              </w:rPr>
              <w:t xml:space="preserve"> punkts, aizstājot skaitli "259" ar skaitli "250".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 512 7.2. apakšpunkta plānotā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mērķrādītājs – līdz 2026. gada 31. augustam 250 personu mājokļu pielāgošana.”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mērķrādītājs – līdz 2026. gada 31. augustam 250 personu mājokļu pielāgošana.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apliecinājuma kopija par iepirkumu līgumā plānoto darbu pabeigšanu vai par sniegto pakalpojumu un piegāžu nodrošināšanu mājokļu pielāgošanai;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plānotajiem grozījumiem noteikumu Nr. 512 8.3.1.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sadaļas 1.3.1. sadaļas “Pašreizējā situācija, problēmas un risinājumi” apakšsadaļas “Risinājumu apraksts” 2.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apliecinājuma kopija par iepirkumu līgumā plānoto darbu pabeigšanu vai par sniegto pakalpojumu un piegāžu nodrošināšanu mājokļu pielāgošanai;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var tikt tulkota sašaurinoši – attiecināma tikai uz tiešu “publisku pakalpojumu sniegšanu”, kas normatīvajos aktos nav konkrēti definēts. Šāds formulējums nepietiekami aptver tos gadījumus, kad pašvaldības kontrolēta kapitālsabiedrība nodrošina vai uztur publiski pieejamu infrastruktūru, kas ir stratēģiski svarīgs objekts un nepieciešams sabiedrības interešu īstenošanai, tādējādi mazinot sociālās atstumtības risku un nodrošinot piekļūstamību būtiski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14.1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 Finansējuma saņēmējs šo noteikumu 20.7.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 vai publiski pieejamu infrastruktūru, kas nepieciešama pakalpojumu sniegšanai sabiedrības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paskaidrotu, kas tiek saprasts ar publisku pakalpojumu 3.1.2.1.i. investīcijas 2. kārtas ietvaros, papildināta anotācijas sadaļas 1.3.1. sadaļas “Pašreizējā situācija, problēmas un risinājumi” apakšsadaļas “Risinājumu apraksts” 4. punkts. Attiecīgi ir skaidrots, ka ar publiskiem pakalpojumiem 3.1.2.1.i. investīcijas otrajā kārtā saprotami pakalpojumi, kas ir paredzēti iedzīvotājiem, uzņēmējiem un to grupām vai sabiedrībai kopumā visplašākajā nozīmē, t.sk. gan bez maksas, gan par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w:t>
            </w:r>
            <w:r w:rsidR="00000000" w:rsidRPr="00000000" w:rsidDel="00000000">
              <w:rPr>
                <w:u w:val="single"/>
                <w:rtl w:val="0"/>
              </w:rPr>
              <w:t xml:space="preserve">var tikt tulkota sašaurinoši</w:t>
            </w:r>
            <w:r w:rsidR="00000000" w:rsidRPr="00000000" w:rsidDel="00000000">
              <w:rPr>
                <w:rtl w:val="0"/>
              </w:rPr>
              <w:t xml:space="preserve"> – attiecināma tikai uz tiešu “publisku pakalpojumu sniegšanu”, kas normatīvajos aktos nav konkrēti definēts. Šāds formulējums nepietiekami aptver tos gadījumus, kad pašvaldības kontrolēta kapitālsabiedrība nodrošina vai uztur publiski pieejamu infrastruktūru, kas ir stratēģiski svarīgs objekts un nepieciešams sabiedrības interešu īstenošanai, tādējādi mazinot sociālās atstumtības risku un nodrošinot piekļūstamību būtiski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14.1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 Finansējuma saņēmējs šo noteikumu 20.7.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r w:rsidR="00000000" w:rsidRPr="00000000" w:rsidDel="00000000">
              <w:rPr>
                <w:u w:val="single"/>
                <w:rtl w:val="0"/>
              </w:rPr>
              <w:t xml:space="preserve"> vai publiski pieejamu infrastruktūru, kas nepieciešama pakalpojumu sniegšanai sabiedrības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paskaidrotu, kas tiek saprasts ar publisku pakalpojumu 3.1.2.1.i. investīcijas 2. kārtas ietvaros, papildināta anotācijas sadaļas 1.3.1. sadaļas “Pašreizējā situācija, problēmas un risinājumi” apakšsadaļas “Risinājumu apraksts” 4. punkts. Attiecīgi ir skaidrots, ka ar publiskiem pakalpojumiem 3.1.2.1.i. investīcijas otrajā kārtā saprotami pakalpojumi, kas ir paredzēti iedzīvotājiem, uzņēmējiem un to grupām vai sabiedrībai kopumā visplašākajā nozīmē, t.sk. gan bez maksas, gan par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pasākumā ir pieejams Atveseļošanas fonda finansējums, ministrija var piešķirt papildu kvotas pašvaldībām un paredzēt mājokļa pielāgošanu vairāk nekā 250 mērķa grupas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samazināt atbalstāmo mērķa grupas personu skaitu no 259 uz 250 personām, lūdzam attiecīgi precizēt arī personu skaitu MK noteikumu 1.pielikuma pēdējā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512 14. punktu šo paši MK noteikumu 1. pielikums bija nepieciešams, lai noteiktu, par kādu mērķa grupas personu skaitu finansējuma saņēmējs var iesniegt projekta iesniegumu attiecīgajā pašvaldībā. Attiecīgi arī saskaņā ar MK noteikumu Nr. 512 26.1. apakšpunktu Labklājības ministrija nosūtīja pašvaldībām uzaicinājumu iesniegt projekta iesniegumu atbilstoši MK noteikumu Nr. 512 1. pielikumam. Attiecīgi MK noteikumu Nr. 512 1. pielikums bija kā pamata dokuments 3.1.2.1.i. investīcijas otrās kārtas projektu iesniegumu atlases organizēšanai un šis process jau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ir iespējamas izmaiņas 3.1.2.1.i. investīcijas otrās kārtas projektu mērķa grupas personu skaitā, jau sākotnēji MK noteikumu Nr. 512 19. punktā tika paredzēta Labklājības ministrijas organizēta mājokļu kvotu pārdale starp pašvaldībām. Ņemot vērā 28.01.2025. apstiprinātos grozījumus MK noteikumos Nr. 512, 19.1 punktā  tika paredzēta iespēja piešķirt papildu kvotas pašvaldībām mājokļu pielāgošanai virs minimāli nepieciešamajām 259. Papildus tam, tika paredzēts pienākums Labklājības ministrijai (MK noteikumu Nr. 512 35.5. apakšpunkts) organizēt kvotu pārdali starp pašvaldībām un dokumentēt to. Attiecīgi jau šobrīd MK noteikumi Nr. 512 paredz kvotu pārdales un dokumentēšanas kārtību, kuras rezultātā var atšķirties MK noteikumu Nr. 512 1. pielikums no faktiski piešķirtajām kvotām. Ņemot vērā minēto, uzskatām, ka MK noteikumu Nr. 512 1. pielikumu nav nepieciešams precizēt.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pasākumā ir pieejams Atveseļošanas fonda finansējums, ministrija var piešķirt papildu kvotas pašvaldībām un paredzēt mājokļa pielāgošanu vairāk nekā 250 mērķa grupas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 atbalstāmo darbību izmaksas ir attiecināmas no 2023.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Nr. 512 paredzēt izņēmumu no to 23. punktā un 24.1. apakšpunktā minētā izmaksu attiecināmības sākuma brīža attiecībā uz noteikumu Nr. 512 20.7. apakšpunktā minētās atbalstāmās darbības izmaksu attiecināmības sākuma brīdi, ņemot vērā, ka no anotācijas 1.3. sadaļā sniegtās informācijas izriet, ka minētās atbalstāmās darbības veikšana un attiecināmība nav paredzēta ar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precizēts 23. punkts un 24.1.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atbalstāmo darbību izmaksas ir attiecināmas no 2023. gada 1. janvāra un šo noteikumu </w:t>
            </w:r>
            <w:r w:rsidR="00000000" w:rsidRPr="00000000" w:rsidDel="00000000">
              <w:rPr>
                <w:rtl w:val="0"/>
              </w:rPr>
              <w:t xml:space="preserve">20.7.</w:t>
            </w:r>
            <w:r w:rsidR="00000000" w:rsidRPr="00000000" w:rsidDel="00000000">
              <w:rPr>
                <w:rtl w:val="0"/>
              </w:rPr>
              <w:t xml:space="preserve"> apakšpunktā minētās atbalstāmās darbības izmaksas ir attiecināmas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29.3.1.</w:t>
            </w:r>
            <w:r w:rsidR="00000000" w:rsidRPr="00000000" w:rsidDel="00000000">
              <w:rPr>
                <w:vertAlign w:val="superscript"/>
                <w:rtl w:val="0"/>
              </w:rPr>
              <w:t xml:space="preserve">1</w:t>
            </w:r>
            <w:r w:rsidR="00000000" w:rsidRPr="00000000" w:rsidDel="00000000">
              <w:rPr>
                <w:rtl w:val="0"/>
              </w:rPr>
              <w:t xml:space="preserve"> ja projektā ir paredzēta šo noteikumu </w:t>
            </w:r>
            <w:r w:rsidR="00000000" w:rsidRPr="00000000" w:rsidDel="00000000">
              <w:rPr>
                <w:rtl w:val="0"/>
              </w:rPr>
              <w:t xml:space="preserve">20.7. </w:t>
            </w:r>
            <w:r w:rsidR="00000000" w:rsidRPr="00000000" w:rsidDel="00000000">
              <w:rPr>
                <w:rtl w:val="0"/>
              </w:rPr>
              <w:t xml:space="preserve">apakšpunktā</w:t>
            </w:r>
            <w:r w:rsidR="00000000" w:rsidRPr="00000000" w:rsidDel="00000000">
              <w:rPr>
                <w:rtl w:val="0"/>
              </w:rPr>
              <w:t xml:space="preserve"> minētās atbalstāmās darbības īstenošana pēc 2026. gada 15. augusta (ieskaitot), noslēguma maksājumu var iesniegt ne vēlāk kā līdz 2026. gada 15. novembrim (ieskaitot), ievērojot, ka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 mērķrādītāja sasniegšana ir pamatota šo noteikumu </w:t>
            </w:r>
            <w:r w:rsidR="00000000" w:rsidRPr="00000000" w:rsidDel="00000000">
              <w:rPr>
                <w:rtl w:val="0"/>
              </w:rPr>
              <w:t xml:space="preserve">29.2.1. </w:t>
            </w:r>
            <w:r w:rsidR="00000000" w:rsidRPr="00000000" w:rsidDel="00000000">
              <w:rPr>
                <w:rtl w:val="0"/>
              </w:rPr>
              <w:t xml:space="preserve">apakšpunktā</w:t>
            </w:r>
            <w:r w:rsidR="00000000" w:rsidRPr="00000000" w:rsidDel="00000000">
              <w:rPr>
                <w:rtl w:val="0"/>
              </w:rPr>
              <w:t xml:space="preserve"> minētajā starpposma maksājumā;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7.2. apakšpunktā minētā mērķrādītāja sasniegšana ir pamatota šo noteikumu 29.2.1.</w:t>
            </w:r>
            <w:r w:rsidR="00000000" w:rsidRPr="00000000" w:rsidDel="00000000">
              <w:rPr>
                <w:vertAlign w:val="superscript"/>
                <w:rtl w:val="0"/>
              </w:rPr>
              <w:t xml:space="preserve">1</w:t>
            </w:r>
            <w:r w:rsidR="00000000" w:rsidRPr="00000000" w:rsidDel="00000000">
              <w:rPr>
                <w:rtl w:val="0"/>
              </w:rPr>
              <w:t xml:space="preserve"> apakšpunktā, nevis 29.2.1. apakšpunktā, tādēļ lūdzam izvērtēt un atbilstoši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norādēm precizēta 7.2. apakšpunktā atsauce uz 29.2.1.</w:t>
            </w:r>
            <w:r w:rsidR="00000000" w:rsidRPr="00000000" w:rsidDel="00000000">
              <w:rPr>
                <w:vertAlign w:val="superscript"/>
                <w:rtl w:val="0"/>
              </w:rPr>
              <w:t xml:space="preserve">1</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29.3.1.</w:t>
            </w:r>
            <w:r w:rsidR="00000000" w:rsidRPr="00000000" w:rsidDel="00000000">
              <w:rPr>
                <w:vertAlign w:val="superscript"/>
                <w:rtl w:val="0"/>
              </w:rPr>
              <w:t xml:space="preserve">1</w:t>
            </w:r>
            <w:r w:rsidR="00000000" w:rsidRPr="00000000" w:rsidDel="00000000">
              <w:rPr>
                <w:rtl w:val="0"/>
              </w:rPr>
              <w:t xml:space="preserve"> ja projektā ir paredzēta šo noteikumu </w:t>
            </w:r>
            <w:r w:rsidR="00000000" w:rsidRPr="00000000" w:rsidDel="00000000">
              <w:rPr>
                <w:rtl w:val="0"/>
              </w:rPr>
              <w:t xml:space="preserve">20.7. </w:t>
            </w:r>
            <w:r w:rsidR="00000000" w:rsidRPr="00000000" w:rsidDel="00000000">
              <w:rPr>
                <w:rtl w:val="0"/>
              </w:rPr>
              <w:t xml:space="preserve">apakšpunktā</w:t>
            </w:r>
            <w:r w:rsidR="00000000" w:rsidRPr="00000000" w:rsidDel="00000000">
              <w:rPr>
                <w:rtl w:val="0"/>
              </w:rPr>
              <w:t xml:space="preserve"> minētās atbalstāmās darbības īstenošana pēc 2026. gada 15. augusta (ieskaitot), noslēguma maksājumu var iesniegt ne vēlāk kā līdz 2026. gada 15. novembrim (ieskaitot), ievērojot, ka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 mērķrādītāja sasniegšana ir pamatota šo noteikumu </w:t>
            </w:r>
            <w:r w:rsidR="00000000" w:rsidRPr="00000000" w:rsidDel="00000000">
              <w:rPr>
                <w:rtl w:val="0"/>
              </w:rPr>
              <w:t xml:space="preserve">29.2.1.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starpposma maksājumā;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tās ir pašvaldības, pašvaldības iestādes, pašvaldības kapitālsabiedrības vai pašvaldības kontrolētas kapitālsabiedrības īpašumā vai lietošanā un šīs lietošanas tiesības ir nostiprinātas Valsts vienotajā datorizētajā zemesgrāmatā ir uz termiņu, kas nav īsāks par pieciem gadiem no dienas, kad veikts projekta noslēguma maksājums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aizstāt noteikumu Nr. 512 plānotajā 30.</w:t>
            </w:r>
            <w:r w:rsidR="00000000" w:rsidRPr="00000000" w:rsidDel="00000000">
              <w:rPr>
                <w:vertAlign w:val="superscript"/>
                <w:rtl w:val="0"/>
              </w:rPr>
              <w:t xml:space="preserve">1</w:t>
            </w:r>
            <w:r w:rsidR="00000000" w:rsidRPr="00000000" w:rsidDel="00000000">
              <w:rPr>
                <w:rtl w:val="0"/>
              </w:rPr>
              <w:t xml:space="preserve">3. apakšpunktā vārdus "pašvaldības, pašvaldības iestādes, pašvaldības kapitālsabiedrības vai pašvaldības kontrolētas kapitālsabiedrības īpašumā vai lietošanā un šīs lietošanas tiesības" ar vārdiem "finansējuma saņēmēja īpašumā vai lietošanā un šīs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tās ir </w:t>
            </w:r>
            <w:r w:rsidR="00000000" w:rsidRPr="00000000" w:rsidDel="00000000">
              <w:rPr>
                <w:u w:val="single"/>
                <w:rtl w:val="0"/>
              </w:rPr>
              <w:t xml:space="preserve">finansējuma saņēmēja</w:t>
            </w:r>
            <w:r w:rsidR="00000000" w:rsidRPr="00000000" w:rsidDel="00000000">
              <w:rPr>
                <w:rtl w:val="0"/>
              </w:rPr>
              <w:t xml:space="preserve"> īpašumā vai lietošanā un </w:t>
            </w:r>
            <w:r w:rsidR="00000000" w:rsidRPr="00000000" w:rsidDel="00000000">
              <w:rPr>
                <w:u w:val="single"/>
                <w:rtl w:val="0"/>
              </w:rPr>
              <w:t xml:space="preserve">šīs tiesības</w:t>
            </w:r>
            <w:r w:rsidR="00000000" w:rsidRPr="00000000" w:rsidDel="00000000">
              <w:rPr>
                <w:rtl w:val="0"/>
              </w:rPr>
              <w:t xml:space="preserve"> ir nostiprinātas Valsts vienotajā datorizētajā zemesgrāmatā ir uz termiņu, kas nav īsāks par pieciem gadiem no dienas, kad veikts projekta noslēguma maksājums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ēkas, kurās sniedz publiskos pakalpojumus, varēs īstenot sadarbībā ar sadarbības partneriem un attiecīgi tās var būt arī viņu īpašumā un lietošanā, vides pieejamības nodrošināšana 30.13. apakšpunkts precizēts, nosakot, ka ēkas ir finansējuma saņēmēja vai sadarbības partnera īpašumā vai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tās ir finansējuma saņēmēja vai sadarbības partnera īpašumā vai lietošanā un šīs tiesības ir nostiprinātas Valsts vienotajā datorizētajā zemesgrāmatā uz termiņu, kas nav īsāks par pieciem gadiem no dienas, kad veikts projekta noslēguma maksājums finansējuma saņēmējam;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ministrija viena mēneša laikā izvērtē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pieprasījumu un sniedz saskaņojumu, ja šo noteikumu pieprasījumā ir norādīta visa pieprasītā informācija un ir izpildīti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minētie nosacījumi. Ja pieprasījumā nepieciešamā informācija nav norādīta vai 3.1.2.1.i. investīcijā "Publisko pakalpojumu un nodarbinātības pieejamības veicināšanas pasākumi cilvēkiem ar funkcionāliem traucējumiem" (turpmāk – investīcija) nav pieejams Atveseļošanas fonda finansējums, ministrija pieprasījumu noraida un informē finansējuma saņēmēju, norādot noraidīšanas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visos gadījumos jāizpilda šo noteikumu 30.23. apakšpunktā minētie nosacījumi, aicinām papildināt ar norādi "ja attiecināms" vai tamlīdzīgi, jo pretējā gadījumā iespējams secināt, ka papildu finansējums būs nepieciešams visos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30.</w:t>
            </w:r>
            <w:r w:rsidR="00000000" w:rsidRPr="00000000" w:rsidDel="00000000">
              <w:rPr>
                <w:vertAlign w:val="superscript"/>
                <w:rtl w:val="0"/>
              </w:rPr>
              <w:t xml:space="preserve">2</w:t>
            </w:r>
            <w:r w:rsidR="00000000" w:rsidRPr="00000000" w:rsidDel="00000000">
              <w:rPr>
                <w:rtl w:val="0"/>
              </w:rPr>
              <w:t xml:space="preserve">2. apakšpunkts, nosakot, ka 30.</w:t>
            </w:r>
            <w:r w:rsidR="00000000" w:rsidRPr="00000000" w:rsidDel="00000000">
              <w:rPr>
                <w:vertAlign w:val="superscript"/>
                <w:rtl w:val="0"/>
              </w:rPr>
              <w:t xml:space="preserve">2</w:t>
            </w:r>
            <w:r w:rsidR="00000000" w:rsidRPr="00000000" w:rsidDel="00000000">
              <w:rPr>
                <w:rtl w:val="0"/>
              </w:rPr>
              <w:t xml:space="preserve">3. apakšpunktā minēto nosacījumu izpilde ir attiecināma, ja tiek pieprasīts papildu Atveseļošanas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ministrija viena mēneša laikā izvērtē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pieprasījumu un sniedz saskaņojumu, ja pieprasījumā ir norādīta visa pieprasītā informācija un, ja attiecināms, ir izpildīti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minētie nosacījumi. Ja pieprasījumā nepieciešamā informācija nav norādīta vai 3.1.2.1.i. investīcijā "Publisko pakalpojumu un nodarbinātības pieejamības veicināšanas pasākumi cilvēkiem ar funkcionāliem traucējumiem" (turpmāk – investīcija) nav pieejams Atveseļošanas fonda finansējums, ministrija pieprasījumu noraida un informē finansējuma saņēmēju, norādot noraidīšanas pamatojumu;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ministrija viena mēneša laikā izvērtē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pieprasījumu un sniedz saskaņojumu, ja šo noteikumu pieprasījumā ir norādīta visa pieprasītā informācija un ir izpildīti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minētie nosacījumi. Ja pieprasījumā nepieciešamā informācija nav norādīta vai 3.1.2.1.i. investīcijā "Publisko pakalpojumu un nodarbinātības pieejamības veicināšanas pasākumi cilvēkiem ar funkcionāliem traucējumiem" (turpmāk – investīcija) nav pieejams Atveseļošanas fonda finansējums, ministrija pieprasījumu noraida un informē finansējuma saņēmēju, norādot noraidīšanas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norādē "šo noteikumu pieprasījumā" svītrot vārdus "šo noteikumu",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noteikumu 30.</w:t>
            </w:r>
            <w:r w:rsidR="00000000" w:rsidRPr="00000000" w:rsidDel="00000000">
              <w:rPr>
                <w:vertAlign w:val="superscript"/>
                <w:rtl w:val="0"/>
              </w:rPr>
              <w:t xml:space="preserve">2</w:t>
            </w:r>
            <w:r w:rsidR="00000000" w:rsidRPr="00000000" w:rsidDel="00000000">
              <w:rPr>
                <w:rtl w:val="0"/>
              </w:rPr>
              <w:t xml:space="preserve">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ministrija viena mēneša laikā izvērtē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pieprasījumu un sniedz saskaņojumu, ja pieprasījumā ir norādīta visa pieprasītā informācija un, ja attiecināms, ir izpildīti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minētie nosacījumi. Ja pieprasījumā nepieciešamā informācija nav norādīta vai 3.1.2.1.i. investīcijā "Publisko pakalpojumu un nodarbinātības pieejamības veicināšanas pasākumi cilvēkiem ar funkcionāliem traucējumiem" (turpmāk – investīcija) nav pieejams Atveseļošanas fonda finansējums, ministrija pieprasījumu noraida un informē finansējuma saņēmēju, norādot noraidīšanas pamatojumu;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4. ja 10 darbdienu laikā pēc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minētā saskaņojuma saņemšanas finansējuma saņēmējs atsakās no šo noteikumu </w:t>
            </w:r>
            <w:r w:rsidR="00000000" w:rsidRPr="00000000" w:rsidDel="00000000">
              <w:rPr>
                <w:rtl w:val="0"/>
              </w:rPr>
              <w:t xml:space="preserve">20.7. </w:t>
            </w:r>
            <w:r w:rsidR="00000000" w:rsidRPr="00000000" w:rsidDel="00000000">
              <w:rPr>
                <w:rtl w:val="0"/>
              </w:rPr>
              <w:t xml:space="preserve">apakšpunktā</w:t>
            </w:r>
            <w:r w:rsidR="00000000" w:rsidRPr="00000000" w:rsidDel="00000000">
              <w:rPr>
                <w:rtl w:val="0"/>
              </w:rPr>
              <w:t xml:space="preserve"> minētās atbalstāmās darbības īstenošanas, ministrija piedāvā īstenot šo noteikumu 20.7. apakšpunktā minēto atbalstāmo darbību nākamajam finansējuma saņēmējam atbilstoši šo noteikumu 30.21. apakšpunktā minēto pieprasījumu iesniegšanas secībai.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("30.</w:t>
            </w:r>
            <w:r w:rsidR="00000000" w:rsidRPr="00000000" w:rsidDel="00000000">
              <w:rPr>
                <w:b w:val="1"/>
                <w:rtl w:val="0"/>
              </w:rPr>
              <w:t xml:space="preserve">21.</w:t>
            </w:r>
            <w:r w:rsidR="00000000" w:rsidRPr="00000000" w:rsidDel="00000000">
              <w:rPr>
                <w:rtl w:val="0"/>
              </w:rPr>
              <w:t xml:space="preserve">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noteikumu 30.</w:t>
            </w:r>
            <w:r w:rsidR="00000000" w:rsidRPr="00000000" w:rsidDel="00000000">
              <w:rPr>
                <w:vertAlign w:val="superscript"/>
                <w:rtl w:val="0"/>
              </w:rPr>
              <w:t xml:space="preserve">2</w:t>
            </w:r>
            <w:r w:rsidR="00000000" w:rsidRPr="00000000" w:rsidDel="00000000">
              <w:rPr>
                <w:rtl w:val="0"/>
              </w:rPr>
              <w:t xml:space="preserve">4. apakšpunktā un paredzēta atsauce uz 30.</w:t>
            </w:r>
            <w:r w:rsidR="00000000" w:rsidRPr="00000000" w:rsidDel="00000000">
              <w:rPr>
                <w:vertAlign w:val="superscript"/>
                <w:rtl w:val="0"/>
              </w:rPr>
              <w:t xml:space="preserve">2</w:t>
            </w:r>
            <w:r w:rsidR="00000000" w:rsidRPr="00000000" w:rsidDel="00000000">
              <w:rPr>
                <w:rtl w:val="0"/>
              </w:rPr>
              <w:t xml:space="preserve">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4. ja 10 darbdienu laikā pēc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minētā saskaņojuma saņemšanas finansējuma saņēmējs atsakās no šo noteikumu </w:t>
            </w:r>
            <w:r w:rsidR="00000000" w:rsidRPr="00000000" w:rsidDel="00000000">
              <w:rPr>
                <w:rtl w:val="0"/>
              </w:rPr>
              <w:t xml:space="preserve">20.7. </w:t>
            </w:r>
            <w:r w:rsidR="00000000" w:rsidRPr="00000000" w:rsidDel="00000000">
              <w:rPr>
                <w:rtl w:val="0"/>
              </w:rPr>
              <w:t xml:space="preserve">apakšpunktā</w:t>
            </w:r>
            <w:r w:rsidR="00000000" w:rsidRPr="00000000" w:rsidDel="00000000">
              <w:rPr>
                <w:rtl w:val="0"/>
              </w:rPr>
              <w:t xml:space="preserve"> minētās atbalstāmās darbības īstenošanas, ministrija piedāvā īstenot šo noteikumu 20.7. apakšpunktā minēto atbalstāmo darbību nākamajam finansējuma saņēmējam atbilstoši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minēto pieprasījumu iesniegšanas secībai.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25-TA-1659</w:t>
    </w:r>
    <w:r>
      <w:br/>
    </w:r>
    <w:r w:rsidR="00000000" w:rsidRPr="00000000" w:rsidDel="00000000">
      <w:rPr>
        <w:rtl w:val="0"/>
      </w:rPr>
      <w:t xml:space="preserve">22.12.2025. 20.10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25-TA-1659</w:t>
    </w:r>
    <w:r>
      <w:br/>
    </w:r>
    <w:r w:rsidR="00000000" w:rsidRPr="00000000" w:rsidDel="00000000">
      <w:rPr>
        <w:rtl w:val="0"/>
      </w:rPr>
      <w:t xml:space="preserve">22.12.2025. 20.10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Izziņa_25-TA-1659.docx</dc:title>
</cp:coreProperties>
</file>

<file path=docProps/custom.xml><?xml version="1.0" encoding="utf-8"?>
<Properties xmlns="http://schemas.openxmlformats.org/officeDocument/2006/custom-properties" xmlns:vt="http://schemas.openxmlformats.org/officeDocument/2006/docPropsVTypes"/>
</file>