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23-TA-1128: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775 "Gada pārskatu un konsolidēto gada pārskatu likuma piemērošanas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"Laboratory of Economic Analysis &amp; Forensics"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225.</w:t>
            </w:r>
            <w:r w:rsidR="00000000" w:rsidRPr="00000000" w:rsidDel="00000000">
              <w:rPr>
                <w:u w:val="single"/>
                <w:vertAlign w:val="superscript"/>
                <w:rtl w:val="0"/>
              </w:rPr>
              <w:t xml:space="preserve">3</w:t>
            </w:r>
            <w:r w:rsidR="00000000" w:rsidRPr="00000000" w:rsidDel="00000000">
              <w:rPr>
                <w:u w:val="single"/>
                <w:rtl w:val="0"/>
              </w:rPr>
              <w:t xml:space="preserve">   Ja kriptoaktīvs tiek izmantots kā maiņas līdzeklis (pirkts, izmantojot atzītu likumīgu maksāšanas līdzekli vai iegūts apmaiņas ceļā), tad šādu kriptoaktīvu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Nr.775 netiek lietots termins "apmaiņas ceļā". MK not.775 ietvaros tiek izmantots vārdu savienojums </w:t>
            </w:r>
            <w:r w:rsidR="00000000" w:rsidRPr="00000000" w:rsidDel="00000000">
              <w:rPr>
                <w:b w:val="1"/>
                <w:rtl w:val="0"/>
              </w:rPr>
              <w:t xml:space="preserve">apmaiņas darījumā. Attiecīgi terminoloģija jālieto konsekventi.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 72. Pamatlīdzekli pieņem grāmatvedības uzskaitē atbilstoši tā sākotnējai vērtībai – iegādes izmaksām vai ražošanas pašizmaksai, vai īpašos gadījumos (piemēram, ja pamatlīdzeklis iegūts apmaiņas darījumā vai kā finanšu palīdzība, ziedojums vai dāvinājums) citai vērtībai, ko var ticami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225.</w:t>
            </w:r>
            <w:r w:rsidR="00000000" w:rsidRPr="00000000" w:rsidDel="00000000">
              <w:rPr>
                <w:u w:val="single"/>
                <w:vertAlign w:val="superscript"/>
                <w:rtl w:val="0"/>
              </w:rPr>
              <w:t xml:space="preserve">3</w:t>
            </w:r>
            <w:r w:rsidR="00000000" w:rsidRPr="00000000" w:rsidDel="00000000">
              <w:rPr>
                <w:u w:val="single"/>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kurš būdams neatrisināts, var normas pantu padarīt par nepiemērojamo: Kā noteikt tirgus cenu? Kādi ir pieļaujamie informācijas izmantošanas avoti?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kriptoaktīvs tiek izmantots kā maiņas līdzeklis (pirkts, izmantojot atzītu likumīgu maksāšanas līdzekli vai iegūts apmaiņas darījumā),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orientierus/avotus, kuri sniegtu objektīvu informāciju par aktīva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Nr.775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kur var iegūt kriptoaktīvu vērtību, lai noteiktu to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izriet pienākums novērtēt kriptoaktīva vērtību eur, un kriptoaktīvu atlikumu vērtību koriģēt, lai tie bilances datumā būtu novērtēti atbilstoši iegādes izmaksām vai zemākajām tirgus cenām bilances datumā. Tai pat laikā noteikumu projektā vai tā anotācijā nav skaidrots - kā noteikt tirgus cenu un kādi ir pieļaujamie informācijas izmantošanas avoti? Lūdzam sniegt papildus skaidrojumu par kriptoaktīvu tirgus cenas un iegādes izmaksu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papildus administratīvo slogu un un izmaksu samērīgums pret ieguvumiem, ieviešot obligātus kriptoaktīvu uzskaites grāmatvedībā nosacījumus, tostarp - pienākumu novērtēt to vērtību atbilstoši iegādes izmaksām vai zemākajām tirgus cenām bilances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kur var iegūt kriptoaktīvu vērtību, lai noteiktu to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 sadaļa ar paskaidrojumu, ka saistībā ar normatīvā akta izmaiņām uzņēmumiem nerodas papildu administratīvais slogs, jo uzņēmumiem tiek saglabāta pieņemtā līdzšinējā prakse par kriptoaktīvu  uzrādīšanu grāmatvedībā. Grozījumi MK noteikumos Nr.775 neuzliek uzņēmumiem nekādu papildus slogu, uzņēmumiem netiek aizliegts, tāpat kā līdz šim, iegādāties kriptoaktīvus un  apmainīties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uzņēmumiem nerodas papildu izdevumi saistībā ar kriptoaktīvu uzrādīšanu gada pārskatā, jo jau šobrīd gada pārskata sastāvdaļu “Bilance” var papildināt ar jauniem posteņiem. Grozījumi MK noteikumos Nr.775 tikai paskaidro, kādos atsevišķos bilances posteņos ir jānorāda konkrētie kriptoaktīvu veidi. Līdz šim tika skaidrots, ka virtuālā valūta (kriptoaktīvi) jānorāda vienā bilances postenī  krājumu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ar prasību, ka kriptoaktīvi jāpārvērtē uz bilances datumu, netiek mainīta līdzšinējā prakse. Visi kriptoaktīvi, tāpat kā visi citi krājumi, bija jānovērtē zemākajā vērtībā – vai nu iegādes vērtībā vai tirgus vērtībā, atkarībā no tā, kura ir zemākā.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uzņēmumiem grozījumi MK noteikumos Nr.775 neveido ne papildu administratīvo slogu, ne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projektā "Grozījumi Ministru kabineta 2015.gada 22.decembra noteikumos Nr.775 "Gada pārskatu un konsolidēto gada pārskatu likuma piemērošanas noteikumi"" (turpmāk - projekts) ietvertās atsauces uz Eiropas Parlamenta un Padomes 2023.gada 31.maija regulu (ES) 2023/1114 par kriptoaktīvu tirgiem un ar ko groza Regulas (ES) Nr.1093/2010 un (ES) Nr.1095/2010 un Direktīvas 2013/36/ES un (ES) 2019/1937 (turpmāk - Regula Nr.2023/1114) un tās vienībām, kā arī sākotnējās ietekmes (ex-ante) novērtējuma ziņojumā (anotācijā) (turpmāk - anotācija) ietverto informāciju, lūdzam aizpildīt anotācijas 5.1.apakšsadaļu un 5.4.apakšsadaļas 1.tabulu, norādot informāciju par minētās regulas vienību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Tieslietu ministrija, ņemot vērā izziņā sniegto skaidrojumu, iebildumu neuzturēja, līdz ar to iebildums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noteikumos Nr.775 netiek pārņemtas Regulas prasības, bet tikai tiek dota atsauce uz Regulā noteiktajiem kriptoaktīvu veidu terminiem. Eiropas Parlamenta un Padomes Regula (ES) 2023/1114 (2023. gada 31. maijs) par kriptoaktīvu tirgiem un ar ko groza Regulas (ES) Nr. 1093/2010 un (ES) Nr. 1095/2010 un Direktīvas 2013/36/ES un (ES) 2019/1937 (Dokuments attiecas uz EEZ) ir tieši piemērojama, tomēr saistībā ar šo Regulu ir pieņemts jauns likums - Kriptoaktīvu pakalpojumu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MK noteikumiem Nr.775 netiek pārņemta neviena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piesaistītos žetonus un kriptoaktīvus, kas nav elektroniskās naudas žetoni un aktīviem piesaistītie žetoni: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un vieglākai uztveramībai ierosinām tehniski precizēt 225.</w:t>
            </w:r>
            <w:r w:rsidR="00000000" w:rsidRPr="00000000" w:rsidDel="00000000">
              <w:rPr>
                <w:vertAlign w:val="superscript"/>
                <w:rtl w:val="0"/>
              </w:rPr>
              <w:t xml:space="preserve">2</w:t>
            </w:r>
            <w:r w:rsidR="00000000" w:rsidRPr="00000000" w:rsidDel="00000000">
              <w:rPr>
                <w:rtl w:val="0"/>
              </w:rPr>
              <w:t xml:space="preserve"> punktu, to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rosinām tehniski precizēt anotācijas 1.3. sadaļas "Pašreizējā situācija, problēmas un risinājumi" apakšsadaļas "Risinājuma apraksts" 3. un 4. rindkopā ietverto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w:t>
            </w:r>
            <w:r w:rsidR="00000000" w:rsidRPr="00000000" w:rsidDel="00000000">
              <w:rPr>
                <w:u w:val="single"/>
                <w:rtl w:val="0"/>
              </w:rPr>
              <w:t xml:space="preserve">u</w:t>
            </w:r>
            <w:r w:rsidR="00000000" w:rsidRPr="00000000" w:rsidDel="00000000">
              <w:rPr>
                <w:rtl w:val="0"/>
              </w:rPr>
              <w:t xml:space="preserve">s žetonus un </w:t>
            </w:r>
            <w:r w:rsidR="00000000" w:rsidRPr="00000000" w:rsidDel="00000000">
              <w:rPr>
                <w:u w:val="single"/>
                <w:rtl w:val="0"/>
              </w:rPr>
              <w:t xml:space="preserve">citus </w:t>
            </w:r>
            <w:r w:rsidR="00000000" w:rsidRPr="00000000" w:rsidDel="00000000">
              <w:rPr>
                <w:rtl w:val="0"/>
              </w:rPr>
              <w:t xml:space="preserve">kriptoaktīvus, kas nav elektroniskās naudas žetoni:"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775 225.</w:t>
            </w:r>
            <w:r w:rsidR="00000000" w:rsidRPr="00000000" w:rsidDel="00000000">
              <w:rPr>
                <w:vertAlign w:val="superscript"/>
                <w:rtl w:val="0"/>
              </w:rPr>
              <w:t xml:space="preserve">2 </w:t>
            </w:r>
            <w:r w:rsidR="00000000" w:rsidRPr="00000000" w:rsidDel="00000000">
              <w:rPr>
                <w:rtl w:val="0"/>
              </w:rPr>
              <w:t xml:space="preserve">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norādīts, ka gadījumā, ja sabiedrība pati izveido (ražo) kriptoaktīvus, tad šādā gadījumā kriptoaktīvi sākotnēji jānovērtē tāpat kā krājumi - sākotnēji novērtē atbilstoši ražošanas pašizmaksai. Tā kā šāds regulējums projektā nav paredzēts, ierosinām atbilstoši precizēt projektā 225.</w:t>
            </w:r>
            <w:r w:rsidR="00000000" w:rsidRPr="00000000" w:rsidDel="00000000">
              <w:rPr>
                <w:vertAlign w:val="superscript"/>
                <w:rtl w:val="0"/>
              </w:rPr>
              <w:t xml:space="preserve">3</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775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grozāmo noteikumu teksts ir iedalīts nodaļās atbilstoši deleģējumiem Gada pārskatu un konsolidēto gada pārskatu likuma 15. panta pirmajā un otrajā daļā, kā arī grozāmo noteikumu 1. punktā atspoguļotajam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neveidot noteikumos jaunu nodaļu, bet apsvērt iespēju projektā paredzēto regulējumu iekļaut esošajās nodaļās atbilstoši to saturam.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jaunās nodaļas nosaukums šobrīd ir šaurāks par nodaļas saturu, jo aptver arī tādu elektronisko naudu, kas nav uzskatāma par kriptoaktīviem (225.</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prasības par elektroniskās naudas, Maksājumu pakalpojumu un elektroniskās naudas likuma izpratnē, uzskaiti grāmatvedībā, jo jau šobrīd saskaņā ar normatīvo regulējumu elektroniskā nauda ir atzīts maksāšanas līdzeklis (nauda). Līdz ar to grāmatvedībā elektroniskā nauda tiek norādīta bilancē kā naudas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vieglāk tiktu uztvertas un saprotamākas MK noteikumu Nr. 775 normas par kriptoaktīvu uzskaiti grāmatvedībā, viss regulējums par kriptoaktīviem ir iekļauts vienā atsevišķā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2023. gada 31. maija regulas (ES) 2023/1114 par kriptoaktīvu tirgiem un ar ko groza regulas (ES) Nr. 1093/2010 un (ES) Nr. 1095/2010 un direktīvas 2013/36/ES un (ES) 2019/1937 48. panta 2. punktu elektroniskās naudas žetonus uzskata par elektronisko naudu. Savukārt no Maksājumu pakalpojumu un elektroniskās naudas likuma 1. panta 36. punkta izriet, ka elektroniskā nauda ir uzskatāma par naudas līdzekļiem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225.</w:t>
            </w:r>
            <w:r w:rsidR="00000000" w:rsidRPr="00000000" w:rsidDel="00000000">
              <w:rPr>
                <w:vertAlign w:val="superscript"/>
                <w:rtl w:val="0"/>
              </w:rPr>
              <w:t xml:space="preserve">4</w:t>
            </w:r>
            <w:r w:rsidR="00000000" w:rsidRPr="00000000" w:rsidDel="00000000">
              <w:rPr>
                <w:rtl w:val="0"/>
              </w:rPr>
              <w:t xml:space="preserve"> punktā nelietot terminus "elektroniskās naudas žetons" un "elektroniskā nauda" secīgi, bet pakārtoti. Proti, ierosinām noteikt, ka elektronisko naudu Maksājumu pakalpojumu un elektroniskās naudas likuma izpratnē, tai skaitā elektroniskās naudas žetonu, grāmatvedībā uzrāda apgrozāmo līdzekļu sastāvā postenī “Nauda”, izveidojot apakšposteni “Elektroniskā nauda”.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prasības par elektroniskās naudas  Maksājumu pakalpojumu un elektroniskās naudas likuma izpratnē, uzskaiti grāmatvedībā jo jau šobrīd saskaņā ar normatīvo regulējumu elektroniskā nauda ir atzīts maksāšanas līdzeklis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31. maija regula (ES) 2023/1114 par kriptoaktīvu tirgiem un ar ko groza regulas (ES) Nr. 1093/2010 un (ES) Nr. 1095/2010 un direktīvas 2013/36/ES un (ES) 2019/1937 paredz šādas kriptoaktīvu pamatgrupas: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aktīviem piesaistītie žetoni un elektroniskās naudas žetoni, kuru mērķis ir saglabāt stabilu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 citi kriptoaktīvi, kas nav aktīviem piesaistītie žetoni vai elektroniskās naudas žetoni.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apsvērt, vai 225.</w:t>
            </w:r>
            <w:r w:rsidR="00000000" w:rsidRPr="00000000" w:rsidDel="00000000">
              <w:rPr>
                <w:vertAlign w:val="superscript"/>
                <w:rtl w:val="0"/>
              </w:rPr>
              <w:t xml:space="preserve">3</w:t>
            </w:r>
            <w:r w:rsidR="00000000" w:rsidRPr="00000000" w:rsidDel="00000000">
              <w:rPr>
                <w:rtl w:val="0"/>
              </w:rPr>
              <w:t xml:space="preserve"> punktā minētajā apakšpostenī "Kriptoaktīvi" nebūtu lietderīgi izdalīt apakšposteni, kurā atspoguļot aktīviem piesaistītos žetonus, jo līdzīgi kā elektroniskās naudas žetoniem to vērtība būtībā ir stabila atšķirībā no citiem kriptoaktīviem, kuru mērķis nav saglabāt stabilu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775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un “elektroniskās naudas žetons” atbilst Eiropas Parlamenta un Padomes 2023. gada 31. maija regulas (ES) 2023/1114 par kriptoaktīvu tirgiem un ar ko groza regulas (ES) Nr. 1093/2010 un (ES) Nr.  1095/2010 un direktīvas 2013/36/ES un (ES) 2019/1937 (turpmāk — Regula Nr.  2023/1114) 3. panta 1. punkta 5.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Novērtējot kriptoaktīvu, ir jāievēro Regulas Nr.  2023/1114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Ja kriptoaktīvs tiek izmantots kā maiņas līdzeklis (pirkts, izmantojot atzītu likumīgu maksāšanas līdzekli vai iegūts apmaiņas ceļā), tad šādu kriptoaktīvu: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1. norāda atbilstoši iegādes izmaksām apgrozāmo līdzekļu sastāvā kā krājumus, izveidojot atsevišķu apakšposteni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 tās drīkst novērtēt neto pārdošanas vērtībā (aprēķina kā aplēstās pārdošanas cenas un aplēsto pārdošanas izmaksu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Elektroniskās naudas žetonu un elektronisko naudu  Maksājumu pakalpojumu un elektroniskās naudas likuma izpratnē, grāmatvedībā uzrāda apgrozāmo līdzekļu sastāvā postenī “Nauda”, izveidojot apakšposteni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5</w:t>
            </w:r>
            <w:r w:rsidR="00000000" w:rsidRPr="00000000" w:rsidDel="00000000">
              <w:rPr>
                <w:rtl w:val="0"/>
              </w:rPr>
              <w:t xml:space="preserve"> Sabiedrība finanšu pārskata pielikumā sniedz informāciju par kriptoaktīvu uzskaitei pieņemto grāmatvedības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normas efektīvas piemērošanas nolūkā projektā ietvertajā Ministru kabineta 2015.gada 22.decembra noteikumu Nr.775 "Gada pārskatu un konsolidēto gada pārskatu likuma piemērošanas noteikumi" 225.</w:t>
            </w:r>
            <w:r w:rsidR="00000000" w:rsidRPr="00000000" w:rsidDel="00000000">
              <w:rPr>
                <w:sz w:val="20"/>
                <w:vertAlign w:val="superscript"/>
                <w:rtl w:val="0"/>
              </w:rPr>
              <w:t xml:space="preserve">2</w:t>
            </w:r>
            <w:r w:rsidR="00000000" w:rsidRPr="00000000" w:rsidDel="00000000">
              <w:rPr>
                <w:rtl w:val="0"/>
              </w:rPr>
              <w:t xml:space="preserve"> punktā konkretizēt, kuras Regulas Nr.2023/1114 vienību prasības ir jāievēro, novērtējot kriptoaktīvu. Alternatīvi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775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775 "Gada pārskatu un konsolidēto gada pārskatu likuma piemērošanas noteikumi" (Latvijas Vēstnesis, 2015, 253. nr.; 2017, 21. nr.; 2018, 33. nr.; 2022, 39. nr.) grozījumu un papildināt noteikumus ar jaunu 10.</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Kriptoaktīvu uzrādīšana grāmatvedībā un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Šajos noteikumos termins “kriptoaktīvs”, “elektroniskās naudas žetons” un “aktīviem piesaistīts žetons” atbilst Eiropas Parlamenta un Padomes 2023. gada 31. maija regulas (ES) 2023/1114 par kriptoaktīvu tirgiem un ar ko groza regulas (ES) Nr. 1093/2010 un (ES) Nr.  1095/2010 un direktīvas 2013/36/ES un (ES) 2019/1937 (turpmāk — Regula Nr.  2023/1114) 3. panta 1. punkta 5., 6. un 7. apakšpunktā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Aktīviem piesaistītus žetonus un citus kriptoaktīvus, kas nav elektroniskās naudas žetoni: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1. grāmatvedībā norāda atbilstoši iegādes vai ražošanas izmaksām apgrozāmo līdzekļu sastāvā kā krājumus, izveidojot attiecīgu atsevišķu apakšposteni “Aktīviem piesaistīti žetoni” vai “Kriptoaktīvi”;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w:t>
            </w:r>
            <w:r w:rsidR="00000000" w:rsidRPr="00000000" w:rsidDel="00000000">
              <w:rPr>
                <w:rtl w:val="0"/>
              </w:rPr>
              <w:t xml:space="preserve"> 2. gada beigās kriptoaktīvu atlikumu vērtību koriģē, lai tie bilances datumā būtu novērtēti atbilstoši iegādes izmaksām vai zemākajām tirgus cenām bilances datumā atkarībā no tā, kurš no šiem rādītājiem ir zemāks.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3</w:t>
            </w:r>
            <w:r w:rsidR="00000000" w:rsidRPr="00000000" w:rsidDel="00000000">
              <w:rPr>
                <w:rtl w:val="0"/>
              </w:rPr>
              <w:t xml:space="preserve"> Elektroniskās naudas žetonus grāmatvedībā uzrāda apgrozāmo līdzekļu sastāvā postenī “Nauda”, izveidojot apakšposteni “Elektroniskās naudas žetons”.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Sabiedrība finanšu pārskata pielikumā sniedz informāciju par kriptoaktīvu veidiem un to uzskaitei pieņemto grāmatvedības politiku, kā arī to ietekmi uz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7.sadaļā saskaņā ar Ministru kabineta 2021.gada 7.septembra noteikumu Nr.617 "Tiesību akta projekta sākotnējās ietekmes izvērtēšanas kārtība" 9.22.apakšpunktu norāda ietekmi uz institūcijām, to funkcijām un cilvēkresursiem. Savukārt anotācijas 2.sadaļā saskaņā ar minēto noteikumu 9.5.apakšpunktu norāda ietekmi uz tautsaimniecību, tai skaitā uz makroekonomisko vidi, nozaru konkurētspēju, uzņēmējdarbības vidi, mazajiem un vidējiem uzņēmējiem, konkurenci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anotācijas 7.5.apakšsadaļā norādīto informāciju norādīt nevis 7.sadaļā, bet gan 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23-TA-1128</w:t>
    </w:r>
    <w:r>
      <w:br/>
    </w:r>
    <w:r w:rsidR="00000000" w:rsidRPr="00000000" w:rsidDel="00000000">
      <w:rPr>
        <w:rtl w:val="0"/>
      </w:rPr>
      <w:t xml:space="preserve">17.03.2025. 13.08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23-TA-1128</w:t>
    </w:r>
    <w:r>
      <w:br/>
    </w:r>
    <w:r w:rsidR="00000000" w:rsidRPr="00000000" w:rsidDel="00000000">
      <w:rPr>
        <w:rtl w:val="0"/>
      </w:rPr>
      <w:t xml:space="preserve">17.03.2025. 13.08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Izziņa_23-TA-1128.docx</dc:title>
</cp:coreProperties>
</file>

<file path=docProps/custom.xml><?xml version="1.0" encoding="utf-8"?>
<Properties xmlns="http://schemas.openxmlformats.org/officeDocument/2006/custom-properties" xmlns:vt="http://schemas.openxmlformats.org/officeDocument/2006/docPropsVTypes"/>
</file>