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paredzēts spēkā stāšanās termiņš – 2025. gada 6.augusts. Vēršam uzmanību, ka atbilstoša </w:t>
            </w:r>
            <w:r w:rsidR="00000000" w:rsidRPr="00000000" w:rsidDel="00000000">
              <w:rPr>
                <w:b w:val="1"/>
                <w:rtl w:val="0"/>
              </w:rPr>
              <w:t xml:space="preserve">norāde par spēkā stāšanās termiņu</w:t>
            </w:r>
            <w:r w:rsidR="00000000" w:rsidRPr="00000000" w:rsidDel="00000000">
              <w:rPr>
                <w:rtl w:val="0"/>
              </w:rPr>
              <w:t xml:space="preserve"> saskaņā ar Ministru kabineta 2009.gada 3.februāra noteikumi Nr.108 ''Normatīvo aktu projektu sagatavošanas noteikumi" 156. punktu </w:t>
            </w:r>
            <w:r w:rsidR="00000000" w:rsidRPr="00000000" w:rsidDel="00000000">
              <w:rPr>
                <w:b w:val="1"/>
                <w:rtl w:val="0"/>
              </w:rPr>
              <w:t xml:space="preserve">nav iekļauta noteikumu projektā</w:t>
            </w:r>
            <w:r w:rsidR="00000000" w:rsidRPr="00000000" w:rsidDel="00000000">
              <w:rPr>
                <w:rtl w:val="0"/>
              </w:rPr>
              <w:t xml:space="preserve"> (TA-25-1555). Attiecīgi lūdzam precizēt anotācijas 1.2. sadaļas spēkā stāšanās termiņa norādi un pamatojumu, paredzot, ka noteikumu projekts stājas spēkā </w:t>
            </w:r>
            <w:r w:rsidR="00000000" w:rsidRPr="00000000" w:rsidDel="00000000">
              <w:rPr>
                <w:u w:val="single"/>
                <w:rtl w:val="0"/>
              </w:rPr>
              <w:t xml:space="preserve">vispārējā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 paredzot, ka TA projekts stāsies spējā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"Problēmas apraksts" 1.punktu ar precīzāku informāciju par 4.3.5.1. pasākuma “Sabiedrībā balstītu sociālo pakalpojumu pieejamības palielināšana” ceturtās kārtas projektu iesniegumu atlases projektu iesniegumu vērtēšanas termiņu, t.i. 07.05.2025.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kādas darbības tiek plānotas, lai nodrošinātu, ka četri projekta iesniegumi, kas tika iesniegti laika periodā 17.03.2025. – 06.05.2025. un kuriem patreiz nepietiek finansējums varētu tikt apstiprināti. Vēršam uzmanību, ka paziņojums par atklāta projektu iesniegumu atlases izsludināšanu tika publicēts "Latvijas Vēstnesī" par 4.3.5.1.pasākuma ceturtās atlases kārtas ietvaros pieejamo kopējo attiecināmo finansējumu 5 622 757 euro, tai skaitā Eiropas Sociālā fonda Plus finansējums - 4 779 343 euro un valsts un pašvaldību budžeta finansējums - 843 414 euro. Attiecīgi anotācijā nepieciešams skaidrojums, vai tiek plānots veikt grozījumus projektu iesniegumu atlases nolikumā un, vai tiks nodrošināta atkārtota publikācija "Latvijas Vēstnesī" par jauno 4.3.5.1.pasākuma ceturtās atlases kārtas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TA projekta anotācijas 1.3. sadaļa “Pašreizējā situācija, problēmas un risinājumi” un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norādīt plānotā un pieejamā (kā arī pārdalāmā) finansējuma sadalījumu pa finansēšanas avotiem (piemēram, Eiropas Sociālā fonda Plus finansējums; nacionālais līdzfinansējums, ko veido valsts un pašvaldību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norādi, ka ir pieļaujama projekta atbalstāmo darbību un to izmaksu līdzfinansēšana no cita finansēšanas avota, pretēji tam, kā noteikts noteikumu 29.1. apakšpunktā, lūdzam skaidrības nolūkos anotācijā ietvert norādi par kādiem citiem līdzfinansēšanas avotiem skaidrojumā ir runa, iekļaujot attiecīgu piemēru. Papildus iesakām ietvert skaidrojumu, ka grozījums noteikumu 29.1. apakšpunktā būtu salāgots ar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īstenošanā esošajiem projektiem (11 noslēgti līgumi par projekta īstenošanu, 1 projekta iesniegums noraidīts, 1 projekts atsaukts, 2 projekta iesniegumiem izvirzīti nosacījumi ar izpildes termiņu līdz 31.10.2025.) un finansējuma saņēmējiem, ņemot vērā, ka Ministru kabineta  noteikumu grozījumu projekts ir iesniegts izskatīšanai pēc projektu iesniegumu atlases kārtas izsludināšanas (atlase norisinājās no 2024.gada 18.oktobra - līdz 2024.gada 16.decembrim, un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ietvert informāciju, kā ir plānota projektu iesniedzēju informēšana par grozījumiem pēc to apstiprināšanas MK, kā arī par grozījumu ietekmi uz to plānotajiem projektiem, kā arī vai būs nepieciešami grozījumi noslēgtajos līgumos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vai veiktie grozījumi nav būtiski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(turpmāk - 3.sadaļa) 6.punktu ar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8.punktā šobrīd spēkā esošo finansējumu sadalījumā pa finansējuma avotiem, tādējādi nodrošinot informācijas un finansējuma izsekojamību </w:t>
            </w:r>
            <w:r w:rsidR="00000000" w:rsidRPr="00000000" w:rsidDel="00000000">
              <w:rPr>
                <w:b w:val="1"/>
                <w:rtl w:val="0"/>
              </w:rPr>
              <w:t xml:space="preserve">pirms un pēc </w:t>
            </w:r>
            <w:r w:rsidR="00000000" w:rsidRPr="00000000" w:rsidDel="00000000">
              <w:rPr>
                <w:rtl w:val="0"/>
              </w:rPr>
              <w:t xml:space="preserve">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3.sadaļas 6.punkta 2.rindkopu, norādot, ka ESF Plus līdzfinansējuma likme ir </w:t>
            </w:r>
            <w:r w:rsidR="00000000" w:rsidRPr="00000000" w:rsidDel="00000000">
              <w:rPr>
                <w:b w:val="1"/>
                <w:rtl w:val="0"/>
              </w:rPr>
              <w:t xml:space="preserve">ne lielāka kā 85%</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Ministru kabineta 2024. gada 3. septembra noteikumu Nr. 593 8.punktam: 4.3.5.1. pasākuma otrajai kārtai plānotais un pieejamais kopējais attiecināmais finansējums ir 15 800 186 euro, tai skaitā Eiropas Sociālā fonda Plus finansējums – 13 430 158 euro un nacionālais līdzfinansējums – 2 370 028 euro, ko veido valsts un pašvaldību budžeta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samazināt pasākuma finansējumu par ... euro (tai skaitā ESF+ finansējums ... euro un nacionālais līdzfinansējums..... euro, ko veido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noteikumu projekta spēkā stāšanās 4.3.5.1.pasākuma otrajai kārtai plānotais un pieejamais kopējais attiecināmais finansējums būs 5 622 672 euro, tai skaitā Eiropas Sociālā fonda Plus finansējums – 4 779 271 euro un nacionālais līdzfinansējums – 843 401 euro, ko veido valsts un pašvaldību budžeta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rindkopās attiecībā uz 2026. un 2027.gadu lūdzam vārdus “un valsts budžeta finansējums” aizstāt ar vārdiem “un nacionālais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2.punktā “Budžeta izdevumi“ kopsumma 2025-2027 gadam matemātiski veido 5 </w:t>
            </w:r>
            <w:r w:rsidR="00000000" w:rsidRPr="00000000" w:rsidDel="00000000">
              <w:rPr>
                <w:b w:val="1"/>
                <w:rtl w:val="0"/>
              </w:rPr>
              <w:t xml:space="preserve">662 </w:t>
            </w:r>
            <w:r w:rsidR="00000000" w:rsidRPr="00000000" w:rsidDel="00000000">
              <w:rPr>
                <w:rtl w:val="0"/>
              </w:rPr>
              <w:t xml:space="preserve">672 euro, kas nesakrīt ar MK noteikumu projekta 8.punktā norādīto kopējo attiecināmo finansējuma apmēru (5 </w:t>
            </w:r>
            <w:r w:rsidR="00000000" w:rsidRPr="00000000" w:rsidDel="00000000">
              <w:rPr>
                <w:b w:val="1"/>
                <w:rtl w:val="0"/>
              </w:rPr>
              <w:t xml:space="preserve">622</w:t>
            </w:r>
            <w:r w:rsidR="00000000" w:rsidRPr="00000000" w:rsidDel="00000000">
              <w:rPr>
                <w:rtl w:val="0"/>
              </w:rPr>
              <w:t xml:space="preserve"> 672 euro), kā arī neprecīzi aprēķināts 1.punktā “Budžeta ieņēmumi” finansējuma apmērs. Līdz ar to precizējamas summas gan attiecīgajos apakšpunktos, gan 6.punkta tekstā norādītajā plānotā finansējuma sadalījumā  pa gadiem un finansējuma avotiem (ESF plus, valsts un pašvaldību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w:t>
            </w:r>
            <w:r w:rsidR="00000000" w:rsidRPr="00000000" w:rsidDel="00000000">
              <w:rPr>
                <w:u w:val="single"/>
                <w:rtl w:val="0"/>
              </w:rPr>
              <w:t xml:space="preserve">tikai izņēmuma gadījumā</w:t>
            </w:r>
            <w:r w:rsidR="00000000" w:rsidRPr="00000000" w:rsidDel="00000000">
              <w:rPr>
                <w:rtl w:val="0"/>
              </w:rPr>
              <w:t xml:space="preserve">, ja jautājumu nepieciešams risināt nekavējoties saistībā ar tādu valstij nelabvēlīgu seku iestāšanos, </w:t>
            </w:r>
            <w:r w:rsidR="00000000" w:rsidRPr="00000000" w:rsidDel="00000000">
              <w:rPr>
                <w:b w:val="1"/>
                <w:rtl w:val="0"/>
              </w:rPr>
              <w:t xml:space="preserve">kas skar būtiskas sabiedrības intereses vai valsts starptautiskās, finanšu, ekonomiskās vai drošības intereses</w:t>
            </w:r>
            <w:r w:rsidR="00000000" w:rsidRPr="00000000" w:rsidDel="00000000">
              <w:rPr>
                <w:rtl w:val="0"/>
              </w:rPr>
              <w:t xml:space="preserve">. </w:t>
            </w:r>
            <w:r w:rsidR="00000000" w:rsidRPr="00000000" w:rsidDel="00000000">
              <w:rPr>
                <w:u w:val="single"/>
                <w:rtl w:val="0"/>
              </w:rPr>
              <w:t xml:space="preserve">Steidzamība jāpamato pēc būtības, norādot konkrētās nelabvēlīgās sekas</w:t>
            </w:r>
            <w:r w:rsidR="00000000" w:rsidRPr="00000000" w:rsidDel="00000000">
              <w:rPr>
                <w:rtl w:val="0"/>
              </w:rPr>
              <w:t xml:space="preserve">. Uzsveram, ka konkrētajam projektam trūkst steidzamības pamatojuma pēc būtības. Tādēļ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6. sadaļā "Projekta izstrādē iesaistītās institūcijas un sabiedrības līdzdalības process"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TA</w:t>
            </w:r>
            <w:r w:rsidR="00000000" w:rsidRPr="00000000" w:rsidDel="00000000">
              <w:rPr>
                <w:i w:val="1"/>
                <w:rtl w:val="0"/>
              </w:rPr>
              <w:t xml:space="preserve"> projekts </w:t>
            </w:r>
            <w:r w:rsidR="00000000" w:rsidRPr="00000000" w:rsidDel="00000000">
              <w:rPr>
                <w:i w:val="1"/>
                <w:u w:val="single"/>
                <w:rtl w:val="0"/>
              </w:rPr>
              <w:t xml:space="preserve">tiek virzīts steidzamības kārtā</w:t>
            </w:r>
            <w:r w:rsidR="00000000" w:rsidRPr="00000000" w:rsidDel="00000000">
              <w:rPr>
                <w:i w:val="1"/>
                <w:rtl w:val="0"/>
              </w:rPr>
              <w:t xml:space="preserve">. Ierosinātie grozījumi ir izrietoši no LM ierosinātajiem Programmas grozījumiem Nr. 3 vai ir tehniska rakstura, kas </w:t>
            </w:r>
            <w:r w:rsidR="00000000" w:rsidRPr="00000000" w:rsidDel="00000000">
              <w:rPr>
                <w:i w:val="1"/>
                <w:u w:val="single"/>
                <w:rtl w:val="0"/>
              </w:rPr>
              <w:t xml:space="preserve">neietekmē sabiedrības intereses </w:t>
            </w:r>
            <w:r w:rsidR="00000000" w:rsidRPr="00000000" w:rsidDel="00000000">
              <w:rPr>
                <w:i w:val="1"/>
                <w:rtl w:val="0"/>
              </w:rPr>
              <w:t xml:space="preserve">kopumā.</w:t>
            </w:r>
            <w:r w:rsidR="00000000" w:rsidRPr="00000000" w:rsidDel="00000000">
              <w:rPr>
                <w:rtl w:val="0"/>
              </w:rPr>
              <w:t xml:space="preserve">", novēršot pretrunas ar Ministru kabineta 2021. gada 7. septembra noteikumos Nr. 606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 paredzot, ka TA projekts stāsies spējā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Minimālais vienā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skaits ir 5, bet maksimālais – 25. Projektā var iesaistīt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attiecībā uz kurām pašvaldības sociālais dienests ir pieņēmis lēmumu par attiecīgā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sabiedrībā balstītā sociālā pakalpojuma piešķiršanu un kuras šādu pakalpojumu uz projekta iesniegšanas brīdi nesaņem pie attiecīgā projekta iesniedzēja. Īstenojot projektu, var iesaistīt lielāku šo noteikumu 3. punktā minēto mērķa grupas personu skaitu, ja nepieciešama mērķa grupas personu nomaiņa un netiek pārsniegta projektā apstiprinātā attiecināmo izmaksu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sadaļā "Risinājuma apraksts" 2.punktā norādītajam projektā tiks nodrošināta iespēja nomainīt vai iesaistīt papildu (jaunu) mērķa grupas personu. Savukārt MK noteikumu 11.punktā norādīts, ka projektā var iesaistīt lielāku personu skaitu, ja nepieciešama mērķa grupas personu nomaiņa. Vēršam uzmanību, ka finansējuma saņēmēji ir izrādījuši interesi, lai nepieciešamības gadījumā varētu piesaistīt papildus (jaunu) mērķa grupas personu iesaisti projektā, piemēram, ja faktiskās izmaksas pakalpojuma sniegšanai ir zemākas nekā projektā plānotās un projektā ir radies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skaidroto ar MK noteikumu 11.punktā paredzēto un nepieciešamības gadījumā lūdzam svītrot MK noteikumu 11.punkta daļu "ja nepieciešama mērķa grupas personu nomaiņa".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piedāvāta MK noteikumu Nr.593. 11. punkta redakcija neizslēdz iespēju finansējuma saņēmējam iesaistīt vairāk personas, ja ir radies izmaksu ietaupījums. Vairāk mērķa grupas personu var iesaistīt divos gadījumos – ja ir nepieciešama mērķa grupas personas nomaiņā un ja netiek pārsniegta projektā apstiprinātā attiecināmo izmaksu kopsumma (radies ietaupījums). Šie abi nosacījumi nav viens otru izslēdzoši un var piemērot abus vai vienu no šie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Minimālais vienā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skaits ir 5, bet maksimālais – 25. Projektā var iesaistīt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attiecībā uz kurām pašvaldības sociālais dienests ir pieņēmis lēmumu par attiecīgā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sabiedrībā balstītā sociālā pakalpojuma piešķiršanu un kuras šādu pakalpojumu uz projekta iesniegšanas brīdi nesaņem pie attiecīgā projekta iesniedzēja. Īstenojot projektu, var iesaistīt lielāku šo noteikumu 3. punktā minēto mērķa grupas personu skaitu, ja nepieciešama mērķa grupas personu nomaiņa un netiek pārsniegta projektā apstiprinātā attiecināmo izmaksu kopsumma.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ievērojot, ka kopējais atbalsts pakalpojuma sniegšanai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nepārsniedz 40 918</w:t>
            </w:r>
            <w:r w:rsidR="00000000" w:rsidRPr="00000000" w:rsidDel="00000000">
              <w:rPr>
                <w:i w:val="1"/>
                <w:rtl w:val="0"/>
              </w:rPr>
              <w:t xml:space="preserve"> euro</w:t>
            </w:r>
            <w:r w:rsidR="00000000" w:rsidRPr="00000000" w:rsidDel="00000000">
              <w:rPr>
                <w:rtl w:val="0"/>
              </w:rPr>
              <w:t xml:space="preserve"> 24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projekti ir apstiprināti un norit to īstenošana, proti, jau ir uzsākts sniegt grupu mājas (dzīvokļa) pakalpojumu, lūdzam atrunāt, no kura brīža var tikt piemērota stundu likme un vai to varēs piemērot pakalpojumiem, kas sniegti, piemēram, no 2025.gada jūnija.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stundas vienības likmi varēs piemērot pēc šo noteikumu spēkā stāšanās un to var piemērot arī iepriekš sniegtiem pakalpojumiem, ja projektā nav iesniegts maksājuma pieprasījums, kurā grupu mājas pakalpojuma sniegšanas izmaksas deklarētas pēc mēneša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ievērojot, ka kopējais atbalsts pakalpojuma sniegšanai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nepārsniedz 40 918</w:t>
            </w:r>
            <w:r w:rsidR="00000000" w:rsidRPr="00000000" w:rsidDel="00000000">
              <w:rPr>
                <w:i w:val="1"/>
                <w:rtl w:val="0"/>
              </w:rPr>
              <w:t xml:space="preserve"> euro</w:t>
            </w:r>
            <w:r w:rsidR="00000000" w:rsidRPr="00000000" w:rsidDel="00000000">
              <w:rPr>
                <w:rtl w:val="0"/>
              </w:rPr>
              <w:t xml:space="preserve"> 24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projektā paredz vienu no šo noteikumu 20.2. apakšpunktā noteiktajām vienas vienības izmaksu likmēm – stundas likmi vai mēneša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ar skaidrojumu, ka likme ir maināma gadījumā, ja pakalpojums tiek sniegts nepilnu mēnesi objektīvu apstākļu dēļ, piemēram, uzsākot vai pabeidzot sniegt pakalpojumu nepilnā mēnesī vai kādā no mēnešiem persona ir ārpus aprūpes mājas (piemēram, stacionārā).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pirms vienas vienības izmaksu likmju piemērošanas 4.3.5.1. pasākuma 1., 2., 3. un 5. kārtā, LM konsultējās ar Eiropas Komisiju kā šis vienas vienības izmaksu metodikas autori un saņēma skaidras norādes, ka projektā viena veida darbībām ir jāpiemēro viena veida likme, respektīvi, tās projekta līmeni nevar kombinēt. Attiecīgi MK noteikumu Nr.593 26.1. apakšpunkts paredz, ka projektā ir piemērojama tikai viena veida likme – stundas vai mēneša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4.3.5.1. pasākuma 2. kārtas finansējuma saņēmējiem ir indikācijas, ka projektā grupu mājas pakalpojumu nebūs iespējams nodrošināt pilnu mēnesi, aicinām sadarbības iestādi pēc šo MK noteikumu grozījumu spēkā stāšanās lūgt finansējuma saņēmēju izvērtēt nepieciešamību projektā piemērot stundas likmi grupu mājas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situācijām, kad projektā mēneša likmes piemērošana ir pamatota un loģiska, bet var rasties objektīvi apstākļi, kad kādai mērķa grupas personai pakalpojumu nav iespējams nodrošināt pilnu mēnesi, LM meklēs risinājumus izmaksu attiecināšanai. Šāda risinājuma atrašanai LM ir nepieciešamas papildu konsultācijas gan ar vadošo iestādi, gan Eiropas Komisiju kā vienas vienības izmaksu metodikas autori. Par šo risinājumu organizēsim atsevišķu diskusiju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projektā paredz vienu no šo noteikumu 20.2. apakšpunktā noteiktajām vienas vienības izmaksu likmēm – stundas likmi vai mēneša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10. punktā izteiktā 30.1.2. apakšpunkta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592. 30.1.2.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25-TA-1555</w:t>
    </w:r>
    <w:r>
      <w:br/>
    </w:r>
    <w:r w:rsidR="00000000" w:rsidRPr="00000000" w:rsidDel="00000000">
      <w:rPr>
        <w:rtl w:val="0"/>
      </w:rPr>
      <w:t xml:space="preserve">09.07.2025. 17.39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25-TA-1555</w:t>
    </w:r>
    <w:r>
      <w:br/>
    </w:r>
    <w:r w:rsidR="00000000" w:rsidRPr="00000000" w:rsidDel="00000000">
      <w:rPr>
        <w:rtl w:val="0"/>
      </w:rPr>
      <w:t xml:space="preserve">09.07.2025. 17.39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Izziņa_25-TA-1555.docx</dc:title>
</cp:coreProperties>
</file>

<file path=docProps/custom.xml><?xml version="1.0" encoding="utf-8"?>
<Properties xmlns="http://schemas.openxmlformats.org/officeDocument/2006/custom-properties" xmlns:vt="http://schemas.openxmlformats.org/officeDocument/2006/docPropsVTypes"/>
</file>