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25-TA-2136: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(27.03.2025.)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09.10.2025. 07:21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"Pašreizējā situācija, problēmas un risinājumi" apakšsadaļas "Risinājuma apraksts" pirmajā teikumā pareizi izteikt 2.3.1.2.i. investīcijas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investīcijas numurā.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atsauci uz normatīvo regulējumu, kas nosaka, ka pašnodarbinātas personas atbilst komersanta statusam. Gadījumā, ja šāds regulējums nav pieejams un ir plānots pašnodarbinātas personas ieskaitīt 2.3.1.2.i. investīcijas rādītājā Nr.64, lūgums sagatavot un iesūtīt jautājumu saskaņošanai ar Eiropas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Komisijas Regulas (ES) Nr. 651/2014 (2014. gada 17. jūnijs), ar ko noteiktas atbalsta kategorijas atzīst par saderīgām ar iekšējo tirgu, piemērojot Līguma 107. un 108. pantu, I PIELIKUMĀ minēto MVU DEFINĪCIJU : 1. pants "Uzņēmums" noteikts, ka - Par uzņēmumu uzskata jebkuru saimnieciskās darbības subjektu neatkarīgi no tā juridiskās formas. Tas jo īpaši ietver pašnodarbinātas personas un ģimenes uzņēmumus, kas nodarbojas ar amatniecību vai veic citu darbību, kā arī personālsabiedrības un apvienības, kas regulāri ir iesaistītas saimnieciskajā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regulā noteikto definīciju, pašnodarbinātas personas, kas veic saimniecisko ir uzskatāmas par uzņēmumu un tiek ieskaitītas investīcijas rādītāja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vai būs nepieciešams veikt grozījumus līgumos un vienošanās par investīciju projekta īstenošanu, tostarp ņemot vērā, ka plānotie Ministru kabineta 2023. gada 12. septembra noteikumu Nr. 529 "Eiropas Savienības Atveseļošanas un noturības mehānisma plāna 2. komponentes "Digitālā transformācija" 2.3. reformu un investīciju virziena "Digitālās prasmes" 2.3.1.2.i. investīcijas "Uzņēmumu digitālo prasmju attīstība" īstenošanas noteikumi" (turpmāk - noteikumi Nr. 529) grozījumi papildināti arī ar izmaiņām avansa saņemšanas nosacījumos. Turklāt izziņas 3. punktā sniegts pamatojums līgumu un vienošanās par investīciju projektu īstenošanu grozījumu neveikšanai, paredzot, ka </w:t>
            </w:r>
            <w:r w:rsidR="00000000" w:rsidRPr="00000000" w:rsidDel="00000000">
              <w:rPr>
                <w:i w:val="1"/>
                <w:rtl w:val="0"/>
              </w:rPr>
              <w:t xml:space="preserve">pašnodarbinātu personu, kas veic saimniecisko darbību, iekļaušana gala saņēmēju lokā radīs tikai pozitīvu ietekmi un veicinās investīcijas kopējā rādītāja sasniegšanas pieaugumu</w:t>
            </w:r>
            <w:r w:rsidR="00000000" w:rsidRPr="00000000" w:rsidDel="00000000">
              <w:rPr>
                <w:rtl w:val="0"/>
              </w:rPr>
              <w:t xml:space="preserve"> - vēršam uzmanību, ka arī finansējuma saņēmējiem un gala labuma guvējiem labvēlīgu grozījumu gadījumā ir nepieciešams izvērtēt, vai ir veicami grozījumi līgumos un vienošanās par investīciju projektu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tiks veikti grozījumi līgumos un vienošanās par investīciju projekta īstenošanu, aicinām atbilstoši aizpildīt arī anotācijas 2.1. un 7.1. sadaļu. Ja grozījumi nav veicami, lūdzam to norādīt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norādot, ka CFLA ar Finansējuma saņēmējiem būs jāveic Līgumu grozījumi, jo ar šiem grozījumiem mainās nosacījumi, kas saistīti ar avansa piešķiršanas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finansējuma saņēmējiem jāvērtē, vai nepieciešami līguma grozījumi/sagataves grozījumi ar gala labuma guvējiem, ņemot vērā, ka sākot ar grozījumu stāšanos spēkā, apmācībās var iesaistīt pašnodarbinātas personas, kas veic saimniecisko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ir norādīts, ka finansējums 2.3.1.2.i.investīcijas īstenošanai ir ieplānots Ekonomikas ministrijas budžeta apakšprogrammā 74.06.00 “Atveseļošana un noturības mehānisma (ANM) projekti un pasākumi”, savukārt noteikumu Nr.529 anotācijā tika sniegta informācija, ka investīcijas īstenošanai nepieciešamo finansējumu Finanšu ministrija lūgs pārdalīt no 80.00.00 programmas „Nesadalītais finansējums Eiropas Savienības politiku instrumentu un pārējās ārvalstu finanšu palīdzības līdzfinansēto projektu un pasākumu īstenošanai”, attiecīgi lūdzam izvērtēt un nepieciešamības gadījumā precizēt minēto informāciju. Turklāt norādām, ka minētajā sadaļas punktā norādītais investīcijai plānotais Atveseļošanas un noturības mehānisma finansējums 2025.gadā nesakrīt ar sadaļas tabulā 2. un 3.ailē atspoguļoto informāciju, attiecīgi lūdzam veikt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anotācijas 3. sadaļā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 finansējuma pārdali uz 2.2.1.2.i. investīciju "Atbalsts procesu digitalizācijai komercdarbībā", lūdzam izvērtēt un papildināt anotācijas 4. sadaļu ar informāciju, ka tiks veikti 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palielinot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 sadaļa aizpildīta, iekļaujot informāciju, ka Ekonomikas ministrijai jāveic grozījumi 3.1.1.7.i. investīcijas Ministru kabineta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ietvaros gala labuma guvēji ir Latvijas Republikā reģistrēti sīkie (mikro), mazie, vidējie un lielie komersanti, tai skaitā tie, kas reģistrēti Latvijas Republikā reģistrēta ārvalstu komersanta filiālē, kurš veic saimniecisko darbību Latvijā, un Latvijā reģistrētas biedrības un nodibinājumi, kas veic saimniecisko darbību, pašnodarbinātas personas (turpmāk – gala labuma guvēji).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sadaļas apakšsadaļā "Risinājuma apraksts", 2.1. sadaļā un izziņas 2. punktā sniegto skaidrojumu, aicinām izvērtēt nepieciešamību papildināt noteikumu Nr. 529 4. punkta plānoto redakciju aiz vārdiem "pašnodarbinātas personas" ar vārdiem "kas veic saimniecisko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punktā veikts papildinājums, ka gala saņēmējs ir pašnodarbināta persona, kas veic saimniecisko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ietvaros gala labuma guvēji ir Latvijas Republikā reģistrēti sīkie (mikro), mazie, vidējie un lielie komersanti, tai skaitā tie, kas reģistrēti Latvijas Republikā reģistrēta ārvalstu komersanta filiālē, kurš veic saimniecisko darbību Latvijā, un Latvijā reģistrētas biedrības un nodibinājumi, kas veic saimniecisko darbību, pašnodarbinātas personas, kas veic saimniecisko darbību (turpmāk – gala labuma guvēji).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Kopējais investīcijā pieejamais Atveseļošanas fonda finansējums ir 16 357 008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2025. gada 8. augusta Eiropas Savienības fondu tematiskās komitejas lēmumam 2.3.1.2.i. investīcijas "Uzņēmumu digitālo prasmju attīstība" finansējuma atlikumus bija plānots pārdalīt uz 3.1.1.7.i. investīciju "Aizdevumi nekustamā īpašuma attīstītājiem zemas īres maksas mājokļu būvniecībai". Lūdzam skaidrot, vai Ekonomikas ministrija ir mainījusi savu lēmumu attiecībā uz minētā finansējuma pārdali un plāno novirzīt līdzekļus 2.2.1.2.i. investīcijas "Atbalsts procesu digitalizācijai komercdarbībā"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fondu tematiskās komitejas 2025. gada 28. augusta sēdes protokola 3.4. punktu "Atļaut pārējām ministrijām identificētos atlikumus izmantot savas nozares AF projektu īstenošanai. " EM ir nolēmusi 2.3.1.2.i investīcijas atlikumu novirzīt 3.1.1.7..i investīcijas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Kopējais investīcijā pieejamais Atveseļošanas fonda finansējums ir 16 357 008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īstenošanas laikā finansējuma saņēmējs var saņemt avansa maksājumus, līdz brīdim, kamēr avansa un starpposma maksājumu kopsumma nepārsniedz 90 % no projekta Atveseļošanas fonda finansējuma apmēra, ja tiek ievēroti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drošas finanšu vadības principam atbilstošu avansa maksājumu plūsmu, lūdzam saglabāt noteikumu Nr. 529 74. punktā tā spēkā esošajā redakcijā ietverto nosacījumu, ka nākamais avansa maksājums tiek izsniegts, kad iepriekšējais maksājums ieguldīts pilnā apmērā. Turklāt vēršam uzmanību, ka atbilstoši plānotajai 74. un 75. punkta redakcijai finansējuma saņēmējs ir tiesīgs lūgt piešķirt arī lielāku avansa maksājuma apmēru nekā šobrīd spēkā esošajā redakcijā noteiktie 30%. 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punkts atgriezts sākotnējā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Vērtēšanas kritēriji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grozīts noteikumu Nr. 529 7.2. apakšpunktā minētā finansējuma apmērs, lūdzam atbilstoši precizēt noteikumu Nr. 529 1. pielikuma "Vērtēšanas kritēriji"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Vērtēšanas kritēriji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17.09.2025. 17:44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sadaļas apakšsadaļā "Apraksts" iekļauto informāciju,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attiecīgajā apakšsadaļā iekļaujama informācija, kas paskaidro noteikumu projekta izstrādes pamatojumu "Ministrijas / iestādes iniciatīva", nevis noteikumu projekta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projekts neparedz izmaiņas finansējuma apmērā, bet tikai gala labuma guvēju loka paplašināšanu (vēršam uzmanību, ka arī tiesību akta pases rindā "MK lietas pamatojums" minēta </w:t>
            </w:r>
            <w:r w:rsidR="00000000" w:rsidRPr="00000000" w:rsidDel="00000000">
              <w:rPr>
                <w:i w:val="1"/>
                <w:rtl w:val="0"/>
              </w:rPr>
              <w:t xml:space="preserve">brīvo saistību pārdale no investīcijas 2.3.1.2.i uz investīciju 2.2.1.2.i</w:t>
            </w:r>
            <w:r w:rsidR="00000000" w:rsidRPr="00000000" w:rsidDel="00000000">
              <w:rPr>
                <w:rtl w:val="0"/>
              </w:rPr>
              <w:t xml:space="preserve">, ko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apraksts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Ekonomikas ministrijai skaidrot, vai plānots pašnodarbinātas personas ieskaitīt 2.3.1.2.i. investīcijas rādītājā Nr.64. Ja Ekonomikas ministrija plāno šādu rādītāja uzskaites papildinājumu, lūgums sagatavot un iesūtīt jautājumu saskaņošanai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pašnodarbinātas personas ir plānots attiecināt, jo rādītājā tiek ieskaitīti visi, kas veic saimniecisko darbību, līdz ar to, pašnodarbināta persona, kas veic saimniecisko darbību var tikt uzskaitīta rādītāja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kā tiks informēti finansējuma saņēmēji un izrietoši arī potenciālie gala labuma guvēji - pašnodarbinātās personas - par plānotajiem grozījumiem, kā arī vai būs nepieciešams veikt grozījumus līgumos un vienošanās par investīciju projekta īstenošanu. Ja tiks veikti grozījumi līgumos un vienošanās par investīciju projekta īstenošanu, aicinām atbilstoši aizpildīt arī anotācijas 2.1. un 7.1.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rīcību pēc grozījumu apstiprināšanu. Ekonomikas ministrijas ieskatā līgumi ar finansējuma saņēmējiem nebūs jāgroza. Jau šobrīd, saskaņā ar MKN 4. punktu “Investīcijas ietvaros gala labuma guvēji ir Latvijas Republikā reģistrēti sīkie (mikro), mazie, vidējie un lielie komersanti, tai skaitā tie, kas reģistrēti Latvijas Republikā reģistrēta ārvalstu komersanta filiālē, kurš veic saimniecisko darbību Latvijā, un Latvijā reģistrētas biedrības un nodibinājumi, kas veic saimniecisko darbību (turpmāk – gala labuma guvēji)”. Pašnodarbinātu personu, kas veic saimniecisko darbību, iekļaušana gala saņēmēju lokā radīs tikai pozitīvu ietekmi un veicinās investīcijas kopējā rādītāja sasniegšanas pieaugumu.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2.1. sadaļu, ņemot vērā, ka ar plānotajiem grozījumiem tiek paplašināts gala labuma guvēju loks.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ietvaros atbildīgās iestādes pienākumus pilda Ekonomikas ministrija (turpmāk –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621 "Eiropas Savienības Atveseļošanas un noturības mehānisma plāna īstenošanas un uzraudzības kārtība" 2.2. apakšpunktam Atveseļošanas un noturības mehānisma plāna ietvaros resorā plānotās reformas un investīcijas nodrošina un īsteno </w:t>
            </w:r>
            <w:r w:rsidR="00000000" w:rsidRPr="00000000" w:rsidDel="00000000">
              <w:rPr>
                <w:u w:val="single"/>
                <w:rtl w:val="0"/>
              </w:rPr>
              <w:t xml:space="preserve">nozares ministrija</w:t>
            </w:r>
            <w:r w:rsidR="00000000" w:rsidRPr="00000000" w:rsidDel="00000000">
              <w:rPr>
                <w:rtl w:val="0"/>
              </w:rPr>
              <w:t xml:space="preserve"> un Valsts kanceleja, nevis </w:t>
            </w:r>
            <w:r w:rsidR="00000000" w:rsidRPr="00000000" w:rsidDel="00000000">
              <w:rPr>
                <w:u w:val="single"/>
                <w:rtl w:val="0"/>
              </w:rPr>
              <w:t xml:space="preserve">atbildīgās iestādes</w:t>
            </w:r>
            <w:r w:rsidR="00000000" w:rsidRPr="00000000" w:rsidDel="00000000">
              <w:rPr>
                <w:rtl w:val="0"/>
              </w:rPr>
              <w:t xml:space="preserve">, kā tas ir Eiropas Savienības fondu ietvaros. Ievērojot minēto, lūdzam aizstāt noteikumu Nr. 529 13. punktā vārdus "atbildīgās iestādes" ar vārdiem "nozares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ietvaros nozares ministrijas pienākumus pilda Ekonomikas ministrija (turpmāk –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Izteikts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ietvaros nozares ministrijas pienākumus pilda Ekonomikas ministrija (turpmāk – ministrija).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25-TA-2136</w:t>
    </w:r>
    <w:r>
      <w:br/>
    </w:r>
    <w:r w:rsidR="00000000" w:rsidRPr="00000000" w:rsidDel="00000000">
      <w:rPr>
        <w:rtl w:val="0"/>
      </w:rPr>
      <w:t xml:space="preserve">04.12.2025. 20.08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25-TA-2136</w:t>
    </w:r>
    <w:r>
      <w:br/>
    </w:r>
    <w:r w:rsidR="00000000" w:rsidRPr="00000000" w:rsidDel="00000000">
      <w:rPr>
        <w:rtl w:val="0"/>
      </w:rPr>
      <w:t xml:space="preserve">04.12.2025. 20.08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Izziņa_25-TA-2136.docx</dc:title>
</cp:coreProperties>
</file>

<file path=docProps/custom.xml><?xml version="1.0" encoding="utf-8"?>
<Properties xmlns="http://schemas.openxmlformats.org/officeDocument/2006/custom-properties" xmlns:vt="http://schemas.openxmlformats.org/officeDocument/2006/docPropsVTypes"/>
</file>