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Jūrlietu, zvejniecības un akvakultūras fonda pasākumam "Sabiedrības virzītas vietējās attīstības stratēģiju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uz atbalsta pretendentu vai uz kādu no kopprojekta dalībniekiem nedrīkst attiekties neviena no grūtībās nonākuša uzņēmuma pazīmēm, kas noteiktas normatīvajos aktos par valsts un Eiropas Savienības atbalsta piešķiršanas, administrēšanas un uzraudzības vispārējo kārtību lauku un zivsaimniecības attīstībai. Ja uz atbalsta pretendentu vai uz kādu no kopprojekta dalībniekiem attiecas kāda no minētajām pazīmēm, atbalsta pretendents var iesniegt zvērināta revidenta apstiprinātu operatīvo (starpperiodu) pārskatu, kas pierāda, ka grūtībās nonākuša uzņēmuma pazīmes ir novērstas;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8.8. apakšpunktu,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atpakšpunkta redakcija, termina "uzņēmums" vietā lietojot terminu "saimnieciskās darbības veicējs".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uz atbalsta pretendentu vai uz kādu no kopprojekta dalībniekiem nedrīkst attiekties neviena no grūtībās nonākuša saimnieciskā darbības veicēja pazīmēm, kas noteiktas normatīvajos aktos par valsts un Eiropas Savienības atbalsta piešķiršanas, administrēšanas un uzraudzības vispārējo kārtību lauku un zivsaimniecības attīstībai. Ja uz atbalsta pretendentu vai uz kādu no kopprojekta dalībniekiem attiecas kāda no minētajām pazīmēm, atbalsta pretendents var iesniegt zvērināta revidenta apstiprinātu operatīvo (starpperiodu) pārskatu, kas pierāda, ka grūtībās nonākuša saimnieciskās darbības veicēja pazīmes ir novērstas;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Pasākumā nepiešķir atbalstu saistībā ar zvejas un akvakultūras produktu apstrādi pretendentam, kas nav mikrouzņēmums, mazais vai vidējais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16.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termina "uzņēmums" vietā lietojot terminu "saimnieciskās darbības veicējs".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Pasākumā nepiešķir atbalstu saistībā ar zvejas un akvakultūras produktu apstrādi pretendentam, kas nav mikrouzņēmums, mazais vai vidējais saimnieciskās darbības veicējs.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Pasākumā atbalstu uz konkrētu laikposmu nepiešķir pretendentam, kam ir pārkāpumi saskaņā ar regulas 2021/1139 11. pantu un regulu 2022/2181.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nav noteikts konkrēts terimiņš, kurā nepiešķir atbalstu pretendentam, kam ir pārkāpumi saskaņā ar regulas 2021/1139 11. pantu un regulu. Kā arī nav saprotams, kā tiks vērtēts, noteikts termiņš aizliegumam saņemt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27. punktu, norādot uz konkrētu termiņu, kādā nepiešķir pretendentam pasākumā atbalstu un kā minētais termiņš tiks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2022/2181 1. pants nosaka, ka regula tiek piemērota EJZAF atbalsta pieteikumiem, un nosaka laikposmu, kurā tādu operatoru iesniegtie pieteikumi, kas izdarījuši kādu no Regulas (ES) 2021/1139 11. panta 1. punktā vai 11. panta 3. punktā minētajām darbībām, ir nepieņemami. Savukārt regulas II nodaļā noteikti operatoru pieteikumu nepieņemamības slieksnis un nepieņemamības laikposms. Ņemot vērā, ka regula nosaka dažādus nepieņemamības sliekšņus un nepieņemamības laikposmus, noteikumu projektā nav iespējams norādīt konkrētu termiņu, kādā nepiešķir atbalstu pretendentam pasākumā. Termiņi tiks noteikti, izvērtējot pārkāpumu un saskaņā ar regulā 2022/2181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Pasākumā atbalstu uz konkrētu laikposmu nepiešķir pretendentam, kam ir pārkāpumi saskaņā ar regulas </w:t>
            </w:r>
            <w:r w:rsidR="00000000" w:rsidRPr="00000000" w:rsidDel="00000000">
              <w:rPr>
                <w:rtl w:val="0"/>
              </w:rPr>
              <w:t xml:space="preserve">2021/1139</w:t>
            </w:r>
            <w:r w:rsidR="00000000" w:rsidRPr="00000000" w:rsidDel="00000000">
              <w:rPr>
                <w:rtl w:val="0"/>
              </w:rPr>
              <w:t xml:space="preserve"> 11. pantu un regulu </w:t>
            </w:r>
            <w:r w:rsidR="00000000" w:rsidRPr="00000000" w:rsidDel="00000000">
              <w:rPr>
                <w:rtl w:val="0"/>
              </w:rPr>
              <w:t xml:space="preserve">2022/2181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nomas līguma vietā – saskaņojumu ar nekustamā īpašuma īpašnieku par atsevišķu labiekārtojuma elementu, stacionāro reklāmas vai informācijas stendu uzstādīšanu vai pamatlīdzekļu novietošanu vai uzglabāšanu vismaz septiņu gadu periodā no projekta iesnieguma iesniegšanas dienas, ja paredzēta atsevišķu labiekārtojuma elementu, stacionāro reklāmas vai informācijas stendu uzstādīšana vai tādu pamatlīdzekļu iegāde, kuri nav stacionāri novietojami, ja vien projektā plānotās darbības neīsteno noteiktā 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saskaņojumus ar nekustamā īpašuma īpašnieku nebūs saistošs nekustamā īpašuma atsavināšanas gadījumā attiecībā pret jauno nekustamā īpašuma īpašnieku. Ņemot vērā minēto, lūdzam izvērtēt šāda regulējuma iekļaušanas riskus un lietderību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pretendentam, iesniedzot projekta iesniegumu un īstenojot projektu, ir saistoši arī atbalsta piešķiršanas virsnteikumi,  proti - Ministru kabineta 2023. gada 7. marta noeikumi Nr. 113 "Valsts un Eiropas Savienības atbalsta piešķiršanas, administrēšanas un uzraudzības vispārējā kārtība lauku un zivsaimniecības attīstībai", kas ietver nosacījumu par to, ka atbalsta saņēmējs ir tiesīgs uzsākt projekta īstenošanu pēc projekta iesnieguma iesniegšanas Lauku atbalsta dienesta elektroniskajā pieteikšanās sistēmā, uzņemoties pilnu finanšu risku, kā arī ir ietverti nosacījumi, kas atbalsta saņēmējam jāievēro, projekta uzraudzības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nomas līguma vietā – saskaņojumu ar nekustamā īpašuma īpašnieku par atsevišķu labiekārtojuma elementu, stacionāro reklāmas vai informācijas stendu uzstādīšanu vai pamatlīdzekļu novietošanu vai uzglabāšanu vismaz septiņu gadu periodā no projekta iesnieguma iesniegšanas dienas, ja paredzēta atsevišķu labiekārtojuma elementu, stacionāro reklāmas vai informācijas stendu uzstādīšana vai tādu pamatlīdzekļu iegāde, kuri nav stacionāri novietojami, ja vien projektā plānotās darbības neīsteno noteiktā telpā;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projektu, kas neatbilst vietējās attīstības stratēģijas rīcības plānā noteiktajai rīcībai, tālāk nevērtē, un vietējā rīcības grupa pieņem lēmumu par projekta noraidīšanu un paziņo to atbalsta pretendentam;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projektu ar attiecīgo vietējās attīstības stratēģijas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šie noteikumi ir papildus spēkā esošajiem MK noteikumiem Nr. 509 "Valsts un Eiropas Savienības atbalsta piešķiršanas kārtība sabiedrības virzītas vietējās attīstības stratēģiju 2023.–2027. gadam sagatavošanai un īstenošanai" (turpmāk - MKN509) un saskaņā ar MKN509 4. punktu vietējās attīstības stratēģiju sagatavo un īsteno biedrība vai nodibinājums (turpmāk – vietējā rīcības grupa). Vietējās attīstības stratēģijas  atlases kritēriji ir noteikti MKN509 7.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janvārī tika apstiprināti 33 vietējo rīcības grupu, tostarp 6 piekrastes vietējo rīcības grupu, projektu iesniegumi atbalsta saņemšanai vietējās attīstības stratēģijas 2023.–2027.gadam sagatavošanai. Vietējās rīcības grupas to sagatavo sešu mēnešu laikā pēc Lauku atbalsta dienesta lēmuma saņemšanas atbilstoši MKN509 prasībām, un četru mēnešu laikā pēc vietējās attīstības stratēģijas iesniegšanas tiks pieņemts lēmums par vietējās attīstības stratēģijas apstiprināšanu un atbalsta piešķiršanu vietējās attīstības stratēģijas īstenošanai. Ņemot vērā iepriekš minēto, vietējās attīstības stratēģijas vēl tiek izstrādātas, turklāt tās nav nepieciešams pievienot noteikumu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projektu, kas neatbilst vietējās attīstības stratēģijas rīcības plānā noteiktajai rīcībai, tālāk nevērtē, un vietējā rīcības grupa pieņem lēmumu par projekta noraidīšanu un paziņo to atbalsta pretendentam;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lēmējinstitūcijas sēdes protokolus. Lēmējinstitūcijas sēdes protokolā norāda projekta iesniegumā paredzēto darbību, par kuru ir iegūti projektu vērtēšanas kritēriju punkti, bet kuru īstenos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punktu, ka finansējuma saņēmējs izstrādā kārtību, kā pārliecinās par interešu konflikta, krāpšanas un korupcijas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nav nepieciešams papildināt ar šādu punktu, jo saskaņā ar MK noteikumu Nr. 509 "Valsts un Eiropas Savienības atbalsta piešķiršanas kārtība sabiedrības virzītas vietējās attīstības stratēģiju 2023.–2027. gadam sagatavošanai un īstenošanai" (turpmāk - MKN509) 7.13. apakšpunktu jau ir paredzēts, ka Vietējās attīstības stratēģijā ir jāietver pārvaldības, uzraudzības un izvērtēšanas pasākumi, kas apliecina vietējās rīcības grupas spēju īstenot vietējās attīstības stratēģiju, un nosaka caurskatāmu un nediskriminējošu projektu atlases un lēmumu pieņemšanas procedūru, tostarp paredzot arī interešu konflikta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lēmējinstitūcijas sēdes protokolus. Lēmējinstitūcijas sēdes protokolā norāda projekta iesniegumā paredzēto darbību, par kuru ir iegūti projektu vērtēšanas kritēriju punkti, bet kuru īstenos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lēmējinstitūcijas sēdes protokolus. Lēmējinstitūcijas sēdes protokolā norāda projekta iesniegumā paredzēto darbību, par kuru ir iegūti projektu vērtēšanas kritēriju punkti, bet kuru īstenos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norādi, kas noteikumu projekta 40. punkta ietvaros tiek uzskatīta par lēmējinstitūciju.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nav nepieciešams papildināt ar šādu punktu, jo informācija par lēmējinstitūciju, tās sastāvu un funkciju ir noteikta MK noteikumu Nr. 509 "Valsts un Eiropas Savienības atbalsta piešķiršanas kārtība sabiedrības virzītas vietējās attīstības stratēģiju 2023.–2027. gadam sagatavošanai un īstenošanai" (turpmāk - MKN509) 4.6., 5.3. un 6.4.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lēmējinstitūcijas sēdes protokolus. Lēmējinstitūcijas sēdes protokolā norāda projekta iesniegumā paredzēto darbību, par kuru ir iegūti projektu vērtēšanas kritēriju punkti, bet kuru īstenos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plānots nodrošināt demarkāciju ar Eiropas Savienības kohēzijas politikas programmā 2021.-2027.gadam (turpmāk – programma) plānotajām investīcijām, ņemot vērā, ka Ministru kabineta noteikumu projektā ietvertais atbalstāma tvērums pārklājas ar atbalsta iespējām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iesniegumu par zvejas atļaujas (licences) anulēšanu zvejas kuģim: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redakcionāli precizēt, papildinot ar vārdu "iesniedz" pirms vārda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iesniegumu par zvejas atļaujas (licences) anulēšanu zvejas kuģim: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apakašpunkta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iesniedz iesniegumu par zvejas atļaujas (licences) anulēšanu zvejas kuģim: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pretendents nekustamo īpašumu, kurā paredzēts īstenot projektu, saskaņā ar šo noteikumu </w:t>
            </w:r>
            <w:r w:rsidR="00000000" w:rsidRPr="00000000" w:rsidDel="00000000">
              <w:rPr>
                <w:rtl w:val="0"/>
              </w:rPr>
              <w:t xml:space="preserve">32.2.</w:t>
            </w:r>
            <w:r w:rsidR="00000000" w:rsidRPr="00000000" w:rsidDel="00000000">
              <w:rPr>
                <w:rtl w:val="0"/>
              </w:rPr>
              <w:t xml:space="preserve"> apakšpunktu nenomā vai nepatapina vai par to neiesniedz saskaņojumu ar nekustamā īpašuma īpašnieku, tad nekustamais īpašums ir pretendenta īpašumā, un to apliecina ieraksts zemesgrāmatā, vai par nekustamo īpašumu zemesgrāmatā ir ierakstītas apbūves tiesības. Ja pretendents ir pašvaldība un nekustamo īpašumu, kurā paredzēts īstenot projektu, tā saskaņā ar šo noteikumu </w:t>
            </w:r>
            <w:r w:rsidR="00000000" w:rsidRPr="00000000" w:rsidDel="00000000">
              <w:rPr>
                <w:rtl w:val="0"/>
              </w:rPr>
              <w:t xml:space="preserve">32.2.</w:t>
            </w:r>
            <w:r w:rsidR="00000000" w:rsidRPr="00000000" w:rsidDel="00000000">
              <w:rPr>
                <w:rtl w:val="0"/>
              </w:rPr>
              <w:t xml:space="preserve"> apakšpunktu nenomā vai nepatapina vai par to neiesniedz saskaņojumu ar nekustamā īpašuma īpašnieku, tad ir piemērojams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punkta redakcija ir sarežģīta un grūti uztverama. Atbilstoši juridiskās tehnikas prasībām tiesību normai ir jābūt skaidrai, lai tās lietotājs un piemērotājs gūtu nepārprotamu priekšstatu par saviem pienākumiem un tiesībām. Pamatojoties uz minēto, lūdzam izvērtēt iespēju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to sadalot divos atsevišķos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pretendents nekustamo īpašumu, kurā paredzēts īstenot projektu, saskaņā ar šo noteikumu 32.2. apakšpunktu nenomā vai nepatapina vai par to neiesniedz saskaņojumu ar nekustamā īpašuma īpašnieku, tad nekustamais īpašums ir pretendenta īpašumā, un to apliecina ieraksts zemesgrāmatā, vai par nekustamo īpašumu zemesgrāmatā ir ierakstītas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pretendents ir pašvaldība, un tā saskaņā ar šo noteikumu 32.2. apakšpunktu nenomā vai nepatapina nekustamo īpašumu, kurā paredzēts īstenot projektu, vai par to neiesniedz saskaņojumu ar nekustamā īpašuma īpašnieku, tad ir piemērojams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35. Ja pretendents nekustamo īpašumu, kurā paredzēts īstenot projektu, saskaņā ar šo noteikumu 32.2. apakšpunktu nenomā vai nepatapina vai par to neiesniedz saskaņojumu ar nekustamā īpašuma īpašnieku, tad nekustamais īpašums ir pretendenta īpašumā, un to apliecina ieraksts zemesgrāmatā, vai par nekustamo īpašumu zemesgrāmatā ir ierakstītas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pretendents ir pašvaldība, un tā saskaņā ar šo noteikumu 32.2. apakšpunktu nenomā vai nepatapina nekustamo īpašumu, kurā paredzēts īstenot projektu, vai par to neiesniedz saskaņojumu ar nekustamā īpašuma īpašnieku, tad ir piemērojams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lēmējinstitūcijas pārstāvju un paraksttiesīgās personas interešu deklarāciju, uzsākot pildīt valsts amatpersonas pienākumus. Interešu deklarāciju iesniedz arī persona, kura protokolē lēmējinstitūcijas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vārdu "konflikta" aiz vārda "interešu".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lēmējinstitūcijas pārstāvju un paraksttiesīgās personas interešu konflikta deklarāciju, uzsākot pildīt valsts amatpersonas pienākumus. Interešu konflikta deklarāciju iesniedz arī persona, kura protokolē lēmējinstitūcijas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lēmējinstitūcijas pārstāvju un paraksttiesīgās personas interešu konflikta deklarāciju, uzsākot pildīt valsts amatpersonas pienākumus. Interešu konflikta deklarāciju iesniedz arī persona, kura protokolē lēmējinstitūcijas sēdes;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projektu vērtētāju individuālo vērtējumu par katru projektu un projektu vērtētāju interešu deklarācijas.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vārdu "konflikta" aiz vārda "interešu".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vērtētāju individuālo vērtējumu par katru projektu un projektu vērtētāju interešu konflikta deklarācijas.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projektu vērtētāju individuālo vērtējumu par katru projektu un projektu vērtētāju interešu konflikta deklarāciju, ja vien projektu vērtētājs nav šo noteikumu </w:t>
            </w:r>
            <w:r w:rsidR="00000000" w:rsidRPr="00000000" w:rsidDel="00000000">
              <w:rPr>
                <w:rtl w:val="0"/>
              </w:rPr>
              <w:t xml:space="preserve">40.4.</w:t>
            </w:r>
            <w:r w:rsidR="00000000" w:rsidRPr="00000000" w:rsidDel="00000000">
              <w:rPr>
                <w:rtl w:val="0"/>
              </w:rPr>
              <w:t xml:space="preserve"> apakšpunktā minētā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vietējās rīcības grupas vietējās attīstības stratēģijā iekļaujamo informāciju attiecībā uz papildinātību ar Eiropas Savienības kohēzijas politikas programmā 2021.-2027.gadam noteiktajiem specifiskajiem atbalsta mērķiem, norādot pilnu minētās programmas nosaukumu. Vēršam uzmanību, ka no šobrīd anotācijā norādītās informācijas nav viennozīmīgi skaidri izsekojams, pret kuru ES fondu plānošanas dokumentu papildinātība tiks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apmērs jau norādīts Ministru kabineta 2022. gada 16. augusta noteikumu Nr. 509 "Valsts un Eiropas Savienības atbalsta piešķiršanas kārtība sabiedrības virzītas vietējās attīstības stratēģiju 2023.–2027.gadam sagatavošanai un īstenošanai" anotācijā, kā tas minēts arī anotācijas 3.sadaļas punkta “Cita informācija” trešajā teikumā, lūdzam svītrot anotācijas 3.sadaļā norādīto informāciju par ietekmi uz budžetu un svītrot punktā “Cita informācija” pirmos divus teikumus un attiecīgi redakcionāli precizēt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anotācijas 3.sadaļā norādīto informāciju un precizējot informāciju punktā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punktā norādīto, ka 2023. gada otrajā pusgadā tiks sagatavots Ministru kabineta noteikumu projekts "Valsts un Eiropas Savienības atbalsta piešķiršanas kārtība starpvalstu un starpteritoriālai sadarbībai Programmas zivsaimniecības attīstībai 2021.–2027. gadam darbības veidā "Sabiedrības virzītas vietējās attīstības stratēģiju īstenošana"", kuros tiks noteikta atbalsta piešķiršanas kārtība vietējām rīcības grupām starpvalstu un starpteritoriālai sadarbībai, aicinām aizpildīt anotācijas 4.2.punktu.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aizpildot 4.2.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23-TA-655</w:t>
    </w:r>
    <w:r>
      <w:br/>
    </w:r>
    <w:r w:rsidR="00000000" w:rsidRPr="00000000" w:rsidDel="00000000">
      <w:rPr>
        <w:rtl w:val="0"/>
      </w:rPr>
      <w:t xml:space="preserve">26.09.2023. 13.33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23-TA-655</w:t>
    </w:r>
    <w:r>
      <w:br/>
    </w:r>
    <w:r w:rsidR="00000000" w:rsidRPr="00000000" w:rsidDel="00000000">
      <w:rPr>
        <w:rtl w:val="0"/>
      </w:rPr>
      <w:t xml:space="preserve">26.09.2023. 13.33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Izziņa_23-TA-655.docx</dc:title>
</cp:coreProperties>
</file>

<file path=docProps/custom.xml><?xml version="1.0" encoding="utf-8"?>
<Properties xmlns="http://schemas.openxmlformats.org/officeDocument/2006/custom-properties" xmlns:vt="http://schemas.openxmlformats.org/officeDocument/2006/docPropsVTypes"/>
</file>