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26-TA-776: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16.04.2026. 10:21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sagatavoto informatīvā ziņojuma projektu atbilstoši pārrunātajam. Finanšu ministrija sniegs atzinumu trīs dienu laikā pēc precizētā projekta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nav ņēmusi vērā LPS pausto iebildi- izziņā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nav sniegta atbilde un vērtējums  pēc būtības  uz LPS atzinumā izvirzītajiem jautājumiem par atšķirīgu darba samaksu valsts un pašvaldību institūcijās un tālāk no tā izrietošo.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neapšaubāmi pievienojas izziņā paustajam, ka  spēkā esošais Atlīdzības likums skar ne tikai tiešo valsts pārvaldi, bet arī pašvaldības, neatkarīgas institūcijas, vēlētas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tas nemazina LPS sākotnējā atzinumā paustā viedokļa aktualitāti-par būtiski atšķirīgu darba samaksu  kā rezultātā faktiski par vienādu darbu darbinieks tiešajā valsts pārvaldē un pašvaldībā virknē gadījumu  saņem atšķirīgu darba samaksu. Tā rezultātā mūsuprāt, līdz brīdim, kad tas izlīdzināsies,  vismaz  mainīgajai atlīdzības daļai vajadzētu atšķirties un attiecībā uz  pašvaldībās strādājošajiem,  tai būtu jābūt lielākai. Respektīvi šis arguments, ko sākotnējā atzinumā ieskicējām arī ar dažiem konkrētiem piemēriem, ir pietiekams pamats nenovienādot tiešo valsts pārvaldi un pašvaldibas saistībā ar atlīdzības mainīgo daļu 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būtiskās atšķirības darbinieku atlīdzībā valsts institūcijās un pašvaldību institūcijās, LPS uztur viedokli, ka turpmākie atlīdzības ierobežojumi vērtējami un, iespējams,  piemērojami atšķirīgi valsts institūcijām un pašvaldību institūcijām. Plānotie atlīdzības ierobežojumi pašvaldību institūcijām nākamajam budžeta gadam ir izskatāmi ikgadējās LPS un FM budžeta sarunās, un attiecīgi īstenojami atbilstoši panāktajai vienošanai.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Informatīvā ziņojuma pēdējo rindkopu, proti, papildinot 3.punktu: "3. vērtēt iespēju saglabāt 2027. gadā piemērojamo naudas balvas apmēru līdz 50% no mēnešalgas apmēra gada laikā, tai skaitā priekšlikumu pārrunājot ar LPS  ikgadējās budžeta sarunās;"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nav iebilžu par Informatīvā  ziņojuma attiecināšanu uz pašvaldībām, ja  Ziņojums tiek precizēts un papldināts atbilstoši iepriekšpaustajam vismaz ieskicējot galvenās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vienpusēju pieeju atlīdzības sistēmas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pieeja, kurā atlīdzības sistēmas pilnveide tiek skatīta, galvenokārt, caur mainīgās atlīdzības daļas ierobežošanu, neizvērtējot pamatalgas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reformas mērķis bija nodrošināt stabilu, konkurētspējīgu un caurspīdīgu atlīdzību, stiprinot mēnešalgas nozīmi. Vienlaikus no ziņojuma nepārprotami izriet, ka praksē joprojām pastāv situācijas, kurās mēnešalga ir tuvu noteiktajam minimumam, un mainīgā atlīdzības daļa tiek izmantota kā būtisks instruments nodarbināto motivācijai un noturēšanai.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papildu ierobežojumu noteikšana mainīgajai atlīdzības daļai, neparedzot risinājumus pamatalgas palielināšanai, rada risku nodarbināto aizplūšanai un institūciju kapacitātes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pirms pieņemt lēmumus par turpmāku mainīgās atlīdzības daļas ierobežošanu, nodrošināt visaptverošu izvērtējumu par pamatalgu konkurētspēju dažādās institūcijās un institūciju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pašvaldību situācijas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ka informatīvajā ziņojumā ietvertie risinājumi tiek attiecināti arī uz pašvaldībām, neveicot padziļinātu pašvaldību atlīdzības sistēmas analīzi. Saskaņošanas procesā jau pamatoti tika norādīts, ka pašvaldībās atalgojuma līmenis un struktūra būtiski atšķiras no tiešās valsts pārvaldes, tostarp pastāv zemāks vidējais atalgojums un krietni lielāka atkarība no minimālās darba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nodalīt informatīvā ziņojuma tvērumu, neattiecinot to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nodrošināt pilnvērtīgu un atsevišķu pašvaldību situācijas analīzi un uz tās balstītus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nevienlīdzības neanalizēšanu.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izvērtētas būtiskās mēnešalgu atšķirības līdzvērtīgos amatos starp dažādām institūcijām, kā arī nav piedāvāti risinājumi šo atšķirību mazināšanai – tiek konstatēts fakts, ka tas notiek/ir, bet risinājumi netiek piedāvāti, lai to novērstu. Norādāms, ka šādu atšķirību pastāvēšana neatbilst vienota darba devēja principam publiskajā sektorā, veicina iekšējo konkurenci par cilvēkresursiem un apgrūtina kvalificētu darbinieku noturēšanu.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veikt padziļinātu analīzi par atlīdzības atšķirībām līdzvērtīgos amatos un izstrādāt priekšlikumus to mazināšanai, tai skaitā stiprinot vienotu atlīdzības salīdzināšanas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vienotu pieeju atšķirīgos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sektorā praksē ir izveidojusies atšķirīga atlīdzības pieeja – valsts pārvaldes institūcijās joprojām tiek izmantoti dažādi mainīgās atlīdzības elementi (piemaksas, prēmijas, naudas balvas), kamēr pašvaldībās ierobežoto finanšu iespēju dēļ šādi instrumenti lielā mērā netiek piemēroti un ir veikta būtiska amata vietu optimizācija, turklāt to dara 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vienotu ierobežojumu noteikšana, neņemot vērā atšķirīgos sākuma apstākļus, var vēl vairāk padziļināt esošās nevienlīdzības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ja publiskajā sektorā kopumā ir nepieciešama “jostu savilkšana”, tai jābūt vienlīdzīgi attiecināmai uz visām institūcijām, nodrošinot, ka taupības pasākumi vispirms tiek īstenoti tajās institūcijās, kurās ir lielākās iespējas optimizēt izdevumus, kas, kā izriet no ziņojuma, pavisam noteikti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ziņojuma saturu un analītisko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informatīvais ziņojums vērtējams kā nepietiekami analītisks un nesniedz pārliecinošu pamatojumu piedāvātajiem risinājumiem. No ziņojuma izriet tendence saglabāt esošo atlīdzības sistēmu, tostarp attiecībā uz regulāru piemaksu, prēmiju un naudas balvu izmantošanu, nevis mērķtiecīgi to vienkāršot un optimizēt, virzoties uz stabilu/konkurētspējīgu ikmēneša atalgojumu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ietvertie dati apliecina būtiskus izdevumus mainīgajai atlīdzības daļai, kas rada pamatu būtiskākai šo instrumentu pārskatīšanai. Vienlaikus secinājumi par atlīdzības izdevumu samazinājumu nav pilnībā pārliecinoši, ņemot vērā ziņojuma 2. tabulā atspoguļotos finanšu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AUS dati neaptver visu publisko sektoru (noteikti neattiecas uz pašvaldībām), līdz ar to uz tiem balstīti secinājumi nav visaptveroši;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CVPS ieviešanas ietekmi ziņojumā nav sniegta pietiekama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stiprināt ziņojuma analītisko daļu, balstot secinājumus visaptverošos datos un skaidri sasaistot tos ar piedāvātajiem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netiek pieminētas vai norādītas nekādas ieceres vai darbības, kas būtu vērstas uz vienlīdzīgas darba samaksas (konkrēti mēnešalgas) noteikšanu valsts pārvaldē strādājošajiem, kuri veic līdzīgus vai vienādus amata/darba pienākumus dažādās iestādēs. Esošā darba samaksas sistēma un apstiprinātā algas noteikšanas skala pieļauj ievērojamas manevrēšanas iespējas algas noteikšanā vienas mēnešalgu grupas ietvaros, ņemot vērā katras iestādes pieejamos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Vienlaicīga mēnešalgu bāzes likmju iesaldēšana un mainīgās atlīdzības daļas (prēmiju un naudas balvu) ierobežošana liedz Datu valsts inspekcijai (turpmāk - DVI) iespēju izmantot finanšu motivācijas instrumentus. Tas vājina DVI konkurētspēju kvalificētu speciālistu piesaistē un noturēšanā, īpaši attiecībā uz speciālistiem, kas ir pieprasīti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vakanto amata vietu likvidēšana un finansējuma samazināšana apstākļos (jo daļa finansējuma par ilgstoši vakantajām amata vietām tiek noņemta), kad DVI funkciju apjoms nemazinās vai pat pieaug (nosakot jaunus uzdevumus un kompetences), rada papildu slodzi esošajiem darbiniekiem. Pieaugot esošo darbinieku pārslodzei, palielinās izdegšanas un personāla mainības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resursu un motivācijas rīku mazināšana vājina DVI spēju nodrošināt kvalitatīvu, profesionālu un savlaicīgu valsts pārvaldes uzdevumu izpildi, kas ilgtermiņā var negatīvi ietekmēt DVI darbības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attiecināmi arī uz citām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turpina uzturēt savu iepriekšējo iebildumu par to, ka varētu tiktu saglabāts 2027.gadā piemērojamais naudas balvas apmērs līdz 50 % no mēnešalgas apmēra gada laikā - arī tajā gadījumā, ja informatīvajā ziņojumā šāds pasākums (3.priekšlikums) tiek minēts pieļāvuma formā (ar piebildi "vērtēt iespēju ...") . Tāpat LDDK iebilst pret informatīvā ziņojuma 4.priekšlikumu, kas paredz iestāžu rīcībā atstāt 70 % no ilgstošo vakanču (vairāk kā 6 mēneši) algu fonda.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pašreizējos apstākļos (krītošs iedzīvotāju skaits valstī, nepieciešamība palielināt finansējumu valsts drošībai un citām prioritātēm) prioritārajam virzienam ir jābūt publiskajā sektorā aizņemto darbvietu skaita optimizācijai.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saglabāšanu no vakantajām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gan publiski pieejamo informāciju, gan ziņojumā ietverto finanšu informāciju (t.sk. par piemaksām, naudas balvām un prēmijām), pastāv risks, ka ilgstoši vakantās amata vietas var tikt uzturētas formāli, kas var mazināt resursu izmantošanas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apsvērt iespēju noteikt skaidrākus kritērijus šādu amata vietu izvērtēšanai un, ja tās ilgstoši netiek aizpildītas, lemt par to lietderību, tostarp izvērtējot iespēju attiecīgo finansējumu novirzīt valsts prioritāro mērķu īstenošanai, piemēram, drošības un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atlīdzības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sistēmas pilnveidē būtu jāvirzās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pamatalgas kā galvenā atlīdzības elementa stiprināšanu. Stabila un pārdomāta pamatalgu sistēma ilgtermiņā samazina administratīvo slogu un veicina izdevumu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iespējas pārskatīt prēmiju un naudas balvu piešķiršanas praksi, apsverot to biežuma mazināšanu un vairāk akcentējot šo instrumentu kā īpašos, izņēmuma gadījumos piemērojamu;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piemaksu, tostarp par nozīmīgu ieguldījumu, piemērošanas pieeju, lai veicinātu to izmantošanu galvenokārt atsevišķos gadījumos un mazinātu priekšstatu par tām kā pastāvīgu atlīdzības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reālu amata vietu skaita optimizāciju publiskajā sektorā, tai skaitā atteikties no “vakanču bankām” un finansējuma saglabāšanu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informatīvais ziņojums būtiski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08:23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līdz ar ievērojamu finansējuma palielinājumu valsts drošībai un citām prioritātēm pieaug budžeta deficīts un valsts parāds. Sagaidāms, ka arī krīze Tuvajos Austrumos var radīt papildu negatīvu fiskālo ietekmi jau tuvākajā laikā. Tādēļ ir nepieciešams būtiski ierobežot valsts budžeta izmaksas dažādās jomās, tostarp atlīdzības fondam. Īpaši vēršam uzmanību uz to, ka publiskajā sektorā strādājošo skaits pēdējos gados ir pieaudzis, kamēr Latvijas iedzīvotāju skaits ir samazinājies. Publiskajā sektorā strādājošo skaitam būtu jāsamazinās atbilstoši iedzīvotāju skaita izmaiņām valstī. Lai veicinātu publiskajā sektorā strādājošo motivāciju, LDDK ieskatā kā galvenajam virzienam jābūt publiskajā sektorā aizņemto darbvietu skaita optimizācijai (tai skaitā digitalizējot procesus, centralizējot funkcijas), attiecīgo algu fondu pārdalot pārējiem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LDDK iebilst pret informatīvajā ziņojumā piedāvātajiem priekšlikumiem, kas paredz saglabāt 2027. gadā piemērojamo naudas balvas apmēru līdz 50 % no mēnešalgas apmēra gada laikā, kā arī atstāt iestāžu rīcībā 70 % no ilgstošo vakanču (vairāk kā 6 mēneši) algu fonda. LDDK aicina valsts pārvaldi solidarizēties ar pārējo Latvijas sabiedrību un koncentrēties uz darbvietu skaita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tikai </w:t>
            </w:r>
            <w:r w:rsidR="00000000" w:rsidRPr="00000000" w:rsidDel="00000000">
              <w:rPr>
                <w:u w:val="single"/>
                <w:rtl w:val="0"/>
              </w:rPr>
              <w:t xml:space="preserve">vērtēt iespēju</w:t>
            </w:r>
            <w:r w:rsidR="00000000" w:rsidRPr="00000000" w:rsidDel="00000000">
              <w:rPr>
                <w:rtl w:val="0"/>
              </w:rPr>
              <w:t xml:space="preserve"> saglabāt 2027. gadā piemērojamo naudas balvas apmēru līdz 50 % no mēnešalgas apmēra gada laikā, nevis paredz šo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finansējuma saglabāšanu no ilgstoši vakantajām vietām norādāms, ka informatīvajā ziņojumā ir norādīts, ka šāds priekšlikums izteikts, </w:t>
            </w:r>
            <w:r w:rsidR="00000000" w:rsidRPr="00000000" w:rsidDel="00000000">
              <w:rPr>
                <w:i w:val="1"/>
                <w:rtl w:val="0"/>
              </w:rPr>
              <w:t xml:space="preserve">lai stimulētu iestādes būt godprātīgām un ņemot vērā, ka nemainot iestādei uzlikto funkciju un uzdevumu apjomu, kā arī to, ka aizvien pieaug darba intensitāte būtu lietderīgi finansējumu no šiem vakantajiem amatiem atstāt iestādes rīcībā 70 % apmērā, bet savukārt 30 % no līdzekļu apjoma tiktu novirzīti kopējo valsts prioritāro pasākumu ieviešanai. Vienlaikus šāda pieeja dos iespēju iestāžu vadītājiem efektīvāk un racionālām izlietot pieejamos resursus, kā arī saglabāt esošo un nepieciešamības gadījumā piesaistīt arī augsti kvalificētus profesionāļus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jebkura optimizācija un centralizācija nereti palikušajiem var radīt un parasti arī rada lielāku darba intensitāti, jo bieži vien iestādei uzlikto funkciju un uzdevumu apjoms nemainās, turklāt nereti līdz ar jauna regulējuma pieņemšanu, īpaši pārņemot direktīvu prasības, funkciju un uzdevumu apjoms iestādei palielinās, bet finansējums vai amata vietas praktiski netiek nodrošinātas. Ievērojot minēto, tiek piedāvāts vismaz kādu daļu no finansējuma atstāt iestādes rīcībā, kas varētu tikt novirzīts konkurētspējīgā atalgojuma noteikšanai un kompetenta personāla noturēšanai vai nepieciešamības gadījumā jaunu profesionāļu piesaistei. Papildus arī norādāms, ka bieži iestādēs tiek konstatēta situācija, kad ir vakantie amati, bet tiem nav pieejams finansējums un vienlaikus iestāde pati negrib atteikties no šīm vakantajām amata vietām, tās likvidējot.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informatīvajā ziņojumā norādīto, ir sniegti priekšlikumi izvērtēšanai un diskusijai likumprojekta "Par valsts budžetu 2027. gadam un budžeta ietvaru 2027., 2028. un 2029.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konkrētu lēmumu pieņemšana vai nepieņemšana būs likumdevēja izšķiršanās.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(turpmāk- Ziņojums) ir tapis, balstoties uz analīzi par datiem ministrijās un padotības iestādēs. Tomēr spriežot pēc  Ziņojuma nosaukuma, tas  attiecas arī  uz pašvaldībām. Tādējādi  veidojas  pretruna - vēl jo vairāk tāpēc, ka situācija pašvaldībās salīdzinot ar tiešo valsts pārvaldi, ir būtiski atšķirīga.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1.Pašvaldībās un valsts pārvaldē ir būtiski atšķirīga darba samaksas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dati par 2025.gada jūniju. 26% pašvaldībās nodarbināto mēneša bruto darba ienākumi normālā darba laika vienībās ir līdz 780 euro, līdz ar to pašvaldību izdevumus būtiski ietekmē minimālās mēneša darba algas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šādu nodarbināto ir tikai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arī pašvaldībās strādājošo mēneša vidējā bruto darba samaksa pakāpeniski aug, tā joprojām būtiski atpaliek  no darba samaksas tiešajā valsts pārvaldē un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2025.gada jūnijā vidējā bruto darba samaksa pašvaldībās un pašvaldību iestādēs bija par 633 euro mazāka nekā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darba samaksa pašvaldībās un pašvaldību iestādēs veidoja 87% no darba samaksas privātajā sektorā un 71% no darba samaksas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vairākas jomas, piemēram, sociālie darbinieki, kur ir gan liela kadru mainība un profesionāļi nereti dodas uz tiešo valsts pārvaldi vai privāto sektoru dēļ augstākas darba samaksas, gan arī  kopumā trūkst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pašvaldību pusē  ar atlīdzības jomu saistītajos jautājumos ir citas problēmas kā tiešajā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no Ziņojuma pasākumu sadaļas pašvaldībām ir saistošs tikai 3.punkts par naudas balvām.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arī  ievērot Eiropas vietējo pašvaldību Hartā noteiktos principus par pašvaldību personāla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1.)Tādējādi, ņemot vērā to, ka dati par  pašvaldībām nav apzināti un situācijas izvērtējums nav veikts, nav korekti  Ziņojumu attiecināt arī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2.)Turpmāk aicinām līdzīgos politikas plānošanas dokumentos nodalīt pašvaldības un tiešo valsts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Ziņojuma atsauci uz pašvaldībām, skaidri precizējot, ka šis Ziņojums  ar tajā ietvertajiem pasākumiem neattiecas uz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pašvaldības tiek minētas,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Budžeta un finanšu (nodokļu) komisijas  dotais uzdevums skaidri paredz, ka jāizvērtē spēkā esošā atlīdzības sistēma, īpaši attiecībā uz novērtēšanas prēmijām, naudas balvām, piemaksu sistēmu un tās atšķirībām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esošā atlīdzības sistēma, tas ir, atbilstoši Valsts un pašvaldību institūciju amatpersonu un darbinieku atlīdzības likumam, skar ne tikai tiešo valsts pārvaldi, bet arī pašvaldības, neatkarīgas institūcijas, vēlētas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ir korekti norādīt pašvaldības, jo saskaņā ar Valsts un pašvaldību institūciju amatpersonu un darbinieku atlīdzības likumu, pašvaldībās nosaka ne tikai mēnešalgas, bet arī mainīgās daļas, tostarp prēmijas par ikgadējo darbības rezultātu novērtējumu, piemaksas, naudas balvas.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trešajā rindkopā lietotais jēdziens "cietuma apsargi" ir maldinošs, jo ieslodzījuma vietās ir vairākas personāla kategorijas, kas ir amatpersonas ar speciālajām dienesta pakāpēm (piemēram, amatpersonas, kas nodrošina ieslodzīto uzraudzību, resocializāciju vai citas funkcijas). Tāpēc šo jēdzienu ir  nepieciešams aizstāt ar jēdzienu "ieslodzījuma vietu amatpersonas".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(turpmāk – Centrs) ir izvērtējis informatīvo ziņojumu un konceptuāli atbalsta tajā pausto mērķi pilnveidot atlīdzības sistēmu, turpinot virzību uz konkurētspējīgu un vienkāršu atlīdzības sistēmu, vienlaikus Centrs nepiekrīt ziņojumā ietvertajiem secinājumiem, jo tie neatspoguļo faktiskos apstākļus valsts pārvaldē un ir balstīti nepietiekamā situācijas analīzē. Ziņojumā nav veikta padziļināta analīze par iestāžu budžeta struktūru, atlīdzības konkurētspēju darba tirgū un cilvēkresursu noturēšanas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izdarītie secinājumi lielā mērā balstīti uz Atlīdzības uzskaites sistēmas datiem, kas paši par sevi nesniedz pilnīgu priekšstatu par atlīdzības politiku iestādēs un nesniedz informāciju par budžeta ierobežojumiem iestādē. Tie neatspoguļo finansējuma izcelsmi un apstākļus, kādos piemaksas par nozīmīgu ieguldījumu institūcijas stratēģisko mērķu sasniegšanā, prēmijas atbilstoši ikgadējam darba izpildes novērtējumam un naudas balvas (turpmāk – atlīdzības mainīgā daļa) tiek izmaksātas. Valsts pārvaldē ir iestādes, kurās pamatbudžetā jau vairāku gadu garumā netiek plānoti līdzekļi atlīdzības mainīgajai daļai un atlīdzības fonds nodrošina vienīgi mēnešalgu, kas ir tuva mēnešalgu grupu skalas intervāla minimumam. Šādos gadījumos Atlīdzības uzskaites sistēmā redzamās atlīdzības mainīgās daļas tiek izmaksātas tikai no neizlietotajiem līdzekļiem vakantajām amata vietām, darbnespējas radītā ietaupījuma vai vienreizēja papildu finansējuma. Līdz ar to ziņojumā izmantotā datu interpretācija rada maldinošu priekšstatu par iestāžu finansiālajām iespējām un piemaksu izmantošanas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pretruna ar tajā deklarēto mērķi – nodrošināt konkurētspējīgu mēnešalgu algu skalas viduspunkta līmenī – un vienlaikus piedāvātajiem ierobežojumiem mainīgajai atlīdzības daļai. Joprojām ir iestādes, kurās mēnešalga ir tuvu minimumam, tādēļ atlīdzības mainīgā daļa ir viens no nedaudzajiem instrumentiem, kas ļauj noturēt kvalificētus nodarbinātos un nodrošināt iestāžu funkciju izpildi. To turpmāka ierobežošana, nepalielinot pamatalgojumu, rada būtisku risku nodarbināto aizplūšanai, grūtībām piesaistīt jaunus nodarbinātos, iestādes kapacitātes vājināšanai un apdraud iestādes funkciju kvalitatīvu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Centrs atbalstītu ziņojumā pausto pieeju samazināt atlīdzības mainīgās daļas īpatsvaru, ja tiktu nodrošināts konkurētspējīgs pamatalgojums vismaz mēnešalgas skalas viduspunkta līmenī. Taču ziņojumā nav sniegta informācija par nepieciešamo papildu finansējumu šāda mērķa sasniegšanai, tostarp iestāžu griezumā, un nav veikta padziļināta un visaptveroša analīze, kas rada šaubas par informatīvajā ziņojumā pausto ideju, kā arī par minēto jaunās Cilvēkresursu vienotās pārvaldības sistēmas pieejas pamatprincipa īstenošanu praksē – katra nodarbinātā darba snieguma izvērtēšana, lai nodrošinātu virzību uz konkurētspējīgu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lai izpildītu Saeimas Budžeta un finanšu (nodokļu) komisijas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spēkā esošo atlīdzības sistēmu, īpaši attiecībā uz vērtēšanas prēmijām, naudas balvām, piemaksu sistēmu un tās atšķirībām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informatīvo ziņojumu ar identificētajām problēmām, riskiem un iespējām, kā arī ar ietekmes analīzi par plānotajiem mainīgās atlīdzības daļas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 priekšlikumus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uzdevums tika dots tieši attiecībā uz atlīdzības mainīgās daļas izvērtējumu, vienlaikus tā kā ziņojums tiks vērtēts kopsakarā ar likumprojekta "Par valsts budžetu 2027. gadam un budžeta ietvaru 2027., 2028. un 2029. gadam", kurā, tostarp arī tiks skatīts jautājums par atlīdzības izdevumu konsolidāciju, tad nav pamata šajā informatīvajā ziņojumā skatīt jautājumu par izdevumu atlīdzībai palielināšanai kā tas tiek piedāvāts atzinumā - nodrošinot konkurētspējīgu pamatalgojumu vismaz mēnešalgas skalas viduspunkta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informatīvajā ziņojumā ietvertie dati atspoguļo pietiekami lielu nevienmērību, praktizējot piemaksas par nozīmīgu ieguldījumu stratēģisko mērķu sasniegšanā. Ir redzams, ka noteiktās ministrijās šādas piemaksas saņem gandrīz visi iestādes darbinieki (kā, piemēram, FM, ĀM, KEM, VARAM), savukārt citās iestādes – tikai daži vai pat vispār neviens. Tas liecina arī par to, ka nav vienotu noteikumu par šādas piemaksas piemērošanu, un katra institūcija esošo kārtību interpretē pēc saviem ieskatiem. LDDK rosina noteikt vadlīnijas par šādu piemaksu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tiesiskais regulējums piemērojams atbilstoši tā jēgai un mērķim, tostarp ņemot vērā likumdevēja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piemaksu par nozīmīgu ieguldījumu attiecīgās institūcijas stratēģisko mērķu sasniegšanā, likumprojekta anotācijā tika norādīts, ka "</w:t>
            </w:r>
            <w:r w:rsidR="00000000" w:rsidRPr="00000000" w:rsidDel="00000000">
              <w:rPr>
                <w:i w:val="1"/>
                <w:rtl w:val="0"/>
              </w:rPr>
              <w:t xml:space="preserve">piemaksas mērķis ir </w:t>
            </w:r>
            <w:r w:rsidR="00000000" w:rsidRPr="00000000" w:rsidDel="00000000">
              <w:rPr>
                <w:b w:val="1"/>
                <w:i w:val="1"/>
                <w:rtl w:val="0"/>
              </w:rPr>
              <w:t xml:space="preserve">atalgot nodarbinātos par īpaši nozīmīgu darbu veikšanu un palielinātu darba apjomu un intensitāti noteiktā periodā</w:t>
            </w:r>
            <w:r w:rsidR="00000000" w:rsidRPr="00000000" w:rsidDel="00000000">
              <w:rPr>
                <w:i w:val="1"/>
                <w:rtl w:val="0"/>
              </w:rPr>
              <w:t xml:space="preserve"> (izmantojot projektu veida pieeju). Ņemot vērā palielināto mēnešalgu skalu, šī piemaksa nebūtu piemērojama pastāvīgi, bet tikai īpašos gadījumos uz noteiktu laiku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ir norādīts, kad šādas piemaksas būtu piešķiramas un vadlīnijas, kas pēc savas būtības nav normatīvs tiesību akts un tām nav saistoša juridiska spēka, nenodrošinātu vienotu pieeju. Minēto arī apgrūtinātu tas, ka iestāžu loks, kurās šādu piemaksu piemēro ir gana plašs un katrai savi stratēģiskie mērķi, to nozīmīgums,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uzmanību, ka Ministru kabineta 2026. gada 13. janvāra noteikumos Nr. 13 "Noteikumi par piemaksu noteikšanas kārtību un to apmēru valsts un pašvaldību institūcijās 2026. gadā" sākotnēji tika paredzēts noteikt kārtību, kritērijus un apmērus piemaksu, tostarp par nozīmīgu ieguldījumu attiecīgās institūcijas stratēģisko mērķu sasniegšanā, noteikšanai, tomēr saskaņošanas procesā tika saņemti vairāki konceptuāli iebildumi šādam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informatīvā ziņojuma 1. lappusē tekstu: “amatpersonām ar speciālajām dienesta pakāpēm – cietuma apsargiem, policistiem, ugunsdzēsējiem un glābējiem, robežsargiem – mēnešalgas apmēru nosaka atbilstoši Ministru kabineta noteikumos ietvertai mēnešalgu skalai” šādā redakcijā: “amatpersonām ar speciālajām dienesta pakāpēm (cietuma apsargiem, policistiem, ugunsdzēsējiem un glābējiem, robežsargiem) mēnešalgas apmēru nosaka atbilstoši Ministru kabineta noteikumos ietvertai mēnešalgu skalai, kas ietver minimālās un maksimālās mēnešalgas, kuru robežās nosaka mēnešalgu”.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norādīts, ka “atlīdzības sistēmas kopējais mērķis bija virzība uz konkurētspējīgas mēnešalgas noteikšanu – algu skalas viduspunkta (~ 80 % no līdzīgas vērtības darba privātajā sektorā)”. Priekšlikums papildināt ar aktuālo informāciju par nodarbināto, kuru mēnešalga sasniedz viduspunktu, procentuālo īpatsvaru valsts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norādīto, ka “naudas balva tiek izmantota analoģiski kā prēmija par ikgadējo darbības rezultātu novērtējumu amatpersonām ar speciālām dienesta pakāpēm un militārpersonām un tās pieļaujamais izmantošanas apmērs ir līdz 100 % no mēnešalgas” vēršam uzmanību, ka 2026. gadā naudas balvas apmērs arī šai nodarbināto kategorijai ir līdz 50%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ministrijas padotības iestādēm daļā gadījumu jau šobrīd ir problemātiski nodrošināt mēnešalgu intervāla minimumu, kā arī noteikt konkurētspējīgas mēnešalgas, kas arī  ir galvenais iemesls gan darbinieku mainībai, gan iespējai piesaistīt profesionāļus darbam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Izvērtēts un secināts, ka nav nepieciešams, jo dotais uzdevums paredz tieši atlīdzības mainīgās daļas izpēti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un informatīvais ziņojums precizēts (skat. 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minimumu norādāms, ka Ministru kabinets 2023. gadā sākot ar aprīli un 2024. gadam un turpmāk, lai nodrošinātu augsti kvalificētu speciālistu noturēšanu un jaunu speciālistu piesaisti tiešās valsts pārvaldes darba nodrošināšanā, nolēma piešķirt papildu finansējumu atalgojuma palielinājumam valsts tiešās pārvaldes iestādēs nodarbinātajiem tā, lai nodrošinātu, ka iestādē nodarbinātajiem noteiktā mēnešalga nav zemāka kā nodarbinātajam atbilstošās mēnešalgu grupas intervāla minimums.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kopš 2025. gada bāzes mēnešalga nav mainījusies, iestādes rīcībā ir jābūt pietiekamiem finanšu līdzekļiem minimuma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iestādes vadītājs organizē iestādes funkciju un uzdevumu pildīšanu un atbild par to, kā arī atbild par to, lai finanšu līdzekļi un manta tiktu izmantota likumīgi.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skaidrot 6. lappusē ietvertā 4. punkta (Ņemot vērā visu iepriekš izklāstīto, un lai sagatavotos likumprojekta “Par valsts budžetu 2027. gadam un budžeta ietvaru 2027., 2028., 2029. un 2030. gadam” izstrādei un pārdomātai lēmumu pieņemšanai, kas ir kritiski nepieciešama, lai novērstu iespējamās negatīvās sekas iestādēs, kurās mainīgās atlīdzības daļas ierobežojumi varētu ietekmēt cilvēkresursu ilgtspēju un funkciju izpildes kvalitāti, veicami šādi pasākumi: 4. finansējumu, kas iegūts no ilgstošo vakanču (vairāk kā 6 mēneši) samazinājuma 2026. gadā (likuma “Par valsts budžetu 2026. gadam un budžeta ietvaru 2026., 2027. un 2028. gadam” 81. pants), paliek iestādes rīcībā 70 % apmērā no attiecīgajam vakantajam amatam noteiktās mēnešalgu grupas skalas intervāla minimuma.) izpildi, plānojot iestādes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Skaidrojumā ietverot, kā tas varētu notikt – pārdale tekošajā gadā vai uz nākamo gadu, uz kādu datumu vērtēs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arī izskaidrot, kāda būs iestāžu darbība, lai noteiktu ilgstošās vakances, aprēķinātu un pārdalītu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ietvert informatīvajā ziņojumā, kas notiek, ja ilgstošā vakance ir finansēta kā maksas pakalpojuma amata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var tik skaidrots tikai tad, ja šāds priekšlikums tiks akceptēts, proti, piekrītot šādam priekšlikumam, tiks lemts arī par noteiktu periodu un attiecīgi skatīti, analizēti Atlīdzības uzskaites sistēmas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izvērtējama visa spēkā esošā atlīdzības sistēma valsts pārvaldē, lūdzam informatīvajā ziņojumā papildus ietvert izvērtējumu par mēnešalgu atšķirībām līdzvērtīgos amatos starp valsts pārvaldes iestādēm, kā arī izstrādāt priekšlikumus to izlīdzināšanai, lai nodrošinātu atlīdzības sistēmas taisnīgumu un samērīgumu. Tāpat arī lūdzam tikai secīgi vērtēt turpmāku mainīgās atlīdzības daļas ierobežošanu. Atlīdzības reformas mērķis bija nodrošināt vienotu, caurspīdīgu un salīdzināmu atlīdzības sistēmu, stiprinot valsts pārvaldi kā vienotu darba devēju. Atlīdzības sistēmas pilnveidē prioritāri nodrošināms vienlīdzīgas darba samaksas princips par līdzvērtīgu darbu visās valsts pārvaldes iestādēs, vienlaikus mazinot atlīdzības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joprojām pastāv būtiskas mēnešalgu atšķirības līdzvērtīgos amatos dažādās iestādēs, kam pamatā ir iestāžu atšķirīgās budžeta iespējas. Tas neatbilst vienota darba devēja pieejai, rada iekšēju konkurenci valsts pārvaldē, apgrūtina cilvēkresursu noturēšanu un ietekmē atlīdzības sistēmas kopējo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mainīgās atlīdzības daļas ierobežojumi pēc būtības tiek piemēroti vienoti visām valsts pārvaldes iestādēm, tomēr, ņemot vērā pastāvošās mēnešalgu atšķirības līdzvērtīgos amatos, šo ierobežojumu ietekme uz nodarbinātajiem nav vienlīdzīga. Proti, zemākas mēnešalgas saņēmējiem mainīgās atlīdzības daļas samazinājums veido proporcionāli lielāku ietekmi uz kopējo atlīdzības līmeni, tādējādi pastiprinot jau esošās atšķirības atlīdzības sistēmas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lai izpildītu Saeimas Budžeta un finanšu (nodokļu) komisijas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spēkā esošo atlīdzības sistēmu, īpaši attiecībā uz vērtēšanas prēmijām, naudas balvām, piemaksu sistēmu un tās atšķirībām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informatīvo ziņojumu ar identificētajām problēmām, riskiem un iespējām, kā arī ar ietekmes analīzi par plānotajiem mainīgās atlīdzības daļas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 priekšlikumus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uzdevums tika dots tieši attiecībā uz atlīdzības mainīgās daļas izvērtējumu, vienlaikus tā kā ziņojums tiks vērtēts kopsakarā ar likumprojekta "Par valsts budžetu 2027. gadam un budžeta ietvaru 2027., 2028. un 2029. gadam", kurā, tostarp arī tiks skatīts jautājums par atlīdzības izdevumu konsolidāciju, tad nav pamata šajā informatīvajā ziņojumā skatīt jautājumu par izdevumu atlīdzībai palielināšanai kā tas tiek piedāvāts atzinumā - izlīdzinot resoros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jau šobrīd Valsts kancelejas tīmekļvietnē ir pieejama detalizēta informācija, balstoties uz iestāžu sniegtajiem datiem Atlīdzības uzskaites sistēmā, par mēnešalgu un darba samaksas (mēnešalga ar piemaksām) apmēriem pa katru mēnešalgu grupu un pa iestādēm un resoriem (tai skaitā arī pret skalas viduspunktu) (</w:t>
            </w:r>
            <w:r w:rsidR="00000000" w:rsidRPr="00000000" w:rsidDel="00000000">
              <w:rPr>
                <w:i w:val="1"/>
                <w:rtl w:val="0"/>
              </w:rPr>
              <w:t xml:space="preserve">pieejams: https://www.mk.gov.lv/lv/datu-vizualizacija-par-nodarbinatajiem-valsts-parvalde</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noslēdzošajā sadaļā par veicamajiem pasākumiem iierosinām precizēt 4. punktu, tajā paredzot nevis horizontālu pieeju – atstājot 70% visām iestādēm, bet gan individuālu pieeju, proti tām iestādēm, kurām noteiktās mēnešalgas nav sasniegušas informatīvajā ziņojumā pieminēto algu skalas viduspunktu (t.i. 80% no līdzīgas vērtības darba privātajā sektorā) atstāt lielāku %, lai būtu iespējā celt atalgojumu uz ilgstošo vakanču samazinājuma rēķina, tādējādi sekmējot mēnešalgas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līdzvērtīgu pieeju visām iestādēm, paredzama vienota pieeja, nevis diferencēta.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26-TA-776</w:t>
    </w:r>
    <w:r>
      <w:br/>
    </w:r>
    <w:r w:rsidR="00000000" w:rsidRPr="00000000" w:rsidDel="00000000">
      <w:rPr>
        <w:rtl w:val="0"/>
      </w:rPr>
      <w:t xml:space="preserve">30.09.2026. 12.42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26-TA-776</w:t>
    </w:r>
    <w:r>
      <w:br/>
    </w:r>
    <w:r w:rsidR="00000000" w:rsidRPr="00000000" w:rsidDel="00000000">
      <w:rPr>
        <w:rtl w:val="0"/>
      </w:rPr>
      <w:t xml:space="preserve">30.09.2026. 12.42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Izziņa_26-TA-776.docx</dc:title>
</cp:coreProperties>
</file>

<file path=docProps/custom.xml><?xml version="1.0" encoding="utf-8"?>
<Properties xmlns="http://schemas.openxmlformats.org/officeDocument/2006/custom-properties" xmlns:vt="http://schemas.openxmlformats.org/officeDocument/2006/docPropsVTypes"/>
</file>