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20. februāra noteikumos Nr. 95 "Noteikumi par valsts palīdzību dzīvojamās telpas iegādei vai būvniecībai"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februāra noteikumos Nr. 95 "Noteikumi par valsts palīdzību dzīvojamās telpas iegādei vai būvniecībai"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iepaianusies ar Ekonomikas ministrijas argumentāciju un uztur iepriekš pausto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01.11.2023. ārkārtas sēdes pieņemtajā likumprojektā "Par valsts budžetu 2024. gadam un budžeta ietvaru 2024., 2025. un 2026. gadam" protokollēmum 7.2. punktā ir paredzēts, ka ministrijas nesniedz priekšlikumus, kas pasliktina valsts budžeta finansiālo bilanci. Ņemot vērā minēto, LDDK piedāvāto grozījumu īstenošanai būtu nepieciešami papildu budžeta finanšu līdzekļu, kas tādējādi pasliktinātu valsts budžeta finansiālo bilanci.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noteikt, ka piesakoties Programmai Balsts, bērna vai personas vecākiem ir nepieciešams iesniegt invaliditātes apliecības kopiju. Ņemot vērā, ka šādas izziņas iesniegšana ALTUM atbalsta mērķgrupu novieto "informācijas pastnieka" pozīcijā, lūdzam skaidrot, kādēļ nav iespējams organizēt datu apmaiņas risinājumu ar Veselības un darbspēju ekspertīzes ārstu valsts komisiju, izmantojot VISS infrastruktūru. Ja datu apmaiņu nav iespējams organizēt, lūdzam identificēt mērķgrupai radīto administratīvo slogu anotācijas 2. sadaļā (atbilstoši Vadlīnijām tiesību akta projekta sākotnējās ietekmes novērtēšanai un novērtējuma ziņojuma sagatavošanai TAP portālā). Administratīvā sloga aprēķinam aicinām izmantot Paplašināto standarta izmaksu modeli (pieejams: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noteikumu projekts ir labvēlīgs normatīvais akts mērķa grupai - personām, kurām ir pietiekami augsti ienākumi, lai atļautos hipotekāro kredītu mājokļa iegādei, taču ir grūtības sakrāt pirmo iemaksu, tiek piedāvāts risinājums (valsts atbalsts), kā šo problēmu atrisināt.  Līdz ar to, izmaksas, kas attiecīgai personai rodas pieteikšanas procesā, ir vērtējamas kā administratīvās izmaksas, ne administratīvais slogs. Konkrētajā situācijā administratīvi optimālākais risinājums ir atbalsta saņēmējam iesniegt invaliditātes apliecības kopiju komercbankai, kad, izmantojot valsts nodrošināto atbalsta iespēju, persona piesakās aizdevumam. Prasība izstrādāt datu apmaiņas risinājumu starp Veselības un darbspēju ekspertīzes ārstu valsts komisiju un komercbankām attiecīgajā gadījumā nav samērīga - tādējādi izmaksas rastos gan valsts budžetam, gan komercbankām - abām pusēm būtu nepieciešams veidot jaunas procedūras un informācijas sistēmas, lai šādus datus apstrādātu atbilstoši datus aizsardzības normatīvajam regulējam. Pastāv risks, ja šāda prasība tiktu attiecināta uz komercbankām, tās varētu pārskatīt savu lēmumu sadarboties ar ALTUM subsīdiju izsniegšanai, tādējādi no šāda rezultāta zaudētu iedzīvotājs. Noteikumu projekta anotācijas 2. sadaļa papildināta ar administratīvajām izmaksām, kas veidojas personai, nodrošinot invaliditātes apliecības kopijas iesniegšanu komercbankai.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minēts, ka atbalsta programmas saņēmējam ir nepieciešams iesniegt izziņu par savu un bērnu deklarēto dzīves vietu. Ņemot vērā, ka šādas izziņas iesniegšana ALTUM atbalsta mērķgrupu novieto "informācijas pastnieka" pozīcijā, lūdzam skaidrot, kādēļ nav iespējams organizēt datu apmaiņas risinājumu ar Pilsonības un migrācijas lietu pārvaldi, izmantojot VISS infrastruktūru. Ja objektīvu iemeslu dēļ datu apmaiņas ar PLMP risinājums nav iespējams, lūdzam identificēt mērķgrupai radīto administratīvo slogu anotācijas 2. sadaļā (atbilstoši Vadlīnijām tiesību akta projekta sākotnējās ietekmes novērtēšanai un novērtējuma ziņojuma sagatavošanai TAP portālā). Administratīvā sloga aprēķinam aicinām izmantot Paplašināto standarta izmaksu modeli (pieejams: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komercbankām piekļuve PMLP datubāzēm par deklarētajām dzīvesvietām jau ir pieejama. Noteikumu projekta apakšpunkts paredz risinājumu, situācijā, ja objektīvu iemeslu dēļ komercbankām informāciju no PMPL datubāzēm nav iespējams iegūt. Ņemot vērā minēto, esam papildinājuši noteikumu projekta anotācijas 2. sadaļu, nosakot izziņas izmaksas, situācijā, ja komercbanka informāciju no valsts datubāzēm nevar iegūt, kā arī papildināta anotācijas 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patēriņam pakļauto personu skaits ir nosakāms, pamatojoties uz pieņēmumiem par to personu skaitu, kas ik gadu pieteiksies minētajam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2.3. sadaļā identificēt mērķgrupai radīto administratīvo slogu atbilstoši Vadlīnijām tiesību akta projekta sākotnējās ietekmes novērtēšanai un novērtējuma ziņojuma sagatavošanai TAP portālā. Administratīvā sloga aprēķinam aicinām izmantot Paplašināto standarta izmaksu modeli (pieejams: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identificētas anotācijas 2.3.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izmaksām pakļauto personu skaits ir nosakāms, pamatojoties uz pieņēmumiem par to personu skaitu, kas ik gadu pieteiksies minētajam atbalstam. Aprēķinot bērnu skaitu ģimenē, ir izmantojama Oficiālā statistikas portāla informācija par vidējo bērnu skaitu mājsaimniecībās ar bērniem Latvijā. Vienlaikus aprēķinā ir nepieciešams iekļaut pieņēmumu par to, cik reizes gadā šādu izziņu nebūs iespējams iegūt automātiski no Fizisko personu reģistra.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Aprēķinātas atbilstības izmaksas atbilstoši iebilduma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8.1.13. apakšpunktu, ņemot vērā projekta anotācijas 1.sadaļā sniegto informāciju, proti, </w:t>
            </w:r>
            <w:r w:rsidR="00000000" w:rsidRPr="00000000" w:rsidDel="00000000">
              <w:rPr>
                <w:i w:val="1"/>
                <w:rtl w:val="0"/>
              </w:rPr>
              <w:t xml:space="preserve">ka, ievērojot Eiropas Parlamenta un Padomes Regulu (ES) 2016/679 (2016. gada 27. aprīlis) par fizisku personu aizsardzību attiecībā uz personas datu apstrādi un šādu datu brīvu apriti un ar ko atceļ Direktīvu 95/46/EK (Vispārīgā datu aizsardzības regula), komercbankām un Altum nav tiesiska pamatojuma pieprasīt no atbalsta saņēmējiem informāciju par viņu deklarēto dzīves vietu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sniedz palīdzību, daļēji sedzot aizņēmēja neizpildītās parādsaistības un (vai) piešķirot subsīdiju attiecībā uz dzīvojamās telpas iegādei vai būvniecībai ņemto aizdevumu, kā arī institūciju, kas administrē palīdzības sniegšanu un kritērijus valsts palīdzības sniegšanai dzīvojamās telpas iegādei vai būvniecībai.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noskaidrots Pilsonības migrācijas lietu pārvaldē izziņu par deklarēto dzīvesvietu šobrīd nav iespējams pieteikt latvija.lv elektroniskā veidā un tuvākajā laikā pat nav plānots šādu pakalpojumu ieviest. Klients var pieteikt izziņas sagatavošanu klātienē kādā no apkalpošanas centriem, parakstītu ar e-parakstu vai e-adresi, kā arī nosūtīt pa pastu. Mūsuprāt tas klientiem rada neērtības procesā, apgrūtinot izmantot tikai minētos izziņas pieteikšanas veidus. Vai ir plānots līdz ar šiem grozījumiem ieviest arī uzlabotu digitālo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Regulu (ES) 2016/679 (2016. gada 27. aprīlis) par fizisku personu aizsardzību attiecībā uz personas datu apstrādi un šādu datu brīvu apriti un ar ko atceļ Direktīvu 95/46/EK (Vispārīgā datu aizsardzības regula) (turpmāk – Regula), komercbankām un Altum nav tiesiska pamatojuma pieprasīt no atbalsta saņēmējiem informāciju par viņa bērnu deklarētajām dzīves vietām. Šādu prasību ir nepieciešams iekļaut, lai neradītos riski, kas saistīti ar regulas pārkāpšanu.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sniedz palīdzību, daļēji sedzot aizņēmēja neizpildītās parādsaistības un (vai) piešķirot subsīdiju attiecībā uz dzīvojamās telpas iegādei vai būvniecībai ņemto aizdevumu, kā arī institūciju, kas administrē palīdzības sniegšanu un kritērijus valsts palīdzības sniegšanai dzīvojamās telpas iegādei vai būvniecībai.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bērna ar invaliditāti vai pilngadīgas personas ar I vai II invaliditātes grupu dzimšanas apliecības kopiju vai cita dokumenta kopiju, kas apliecina bērna vai personas tiesisko statusu un invaliditātes apliecības kopiju, ja persona pretendē uz atbalsta programmas “Balsts” subsīdiju atbilstoši šo noteikumu 6.</w:t>
            </w:r>
            <w:r w:rsidR="00000000" w:rsidRPr="00000000" w:rsidDel="00000000">
              <w:rPr>
                <w:vertAlign w:val="superscript"/>
                <w:rtl w:val="0"/>
              </w:rPr>
              <w:t xml:space="preserve">5 </w:t>
            </w:r>
            <w:r w:rsidR="00000000" w:rsidRPr="00000000" w:rsidDel="00000000">
              <w:rPr>
                <w:rtl w:val="0"/>
              </w:rPr>
              <w:t xml:space="preserve">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tiesisko pamatu informācijas par personas invaliditāti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veikt fizisko personu datu apstrādi, jāpastāv kādam no Eiropas Parlamenta un Padomes 2016. gada 27. aprīļa Regulas (ES) 2016/679 Par fizisku personu datu aizsardzību attiecībā uz personas datu apstrādi un šādu datu brīvu apriti un ar ko atceļ Direktīvu 95/46/EK (Vispārīgā datu aizsardzības regula) (turpmāk – Datu regula) 6. panta 1. punktā noteiktajiem tiesiskajiem pamatiem. Ja tiek plānots veikt īpašu kategoriju personas datu apstrādi, t.sk.informācijas par personas veselību, papildus jāņem vērā Datu regulas 9. pantā noteiktās prasības. Projekta ietvaros tiek plānota informācijas par personas invaliditāti apstrāde, kas Datu regulas izpratnē saprotama kā īpašu kategoriju personas datu apstrāde. Vēršam uzmanību, ka likuma “Par palīdzību dzīvokļa jautājumu risināšanā” 27.1panta otrajā daļā kā kritērijs valsts palīdzības saņemšanai dzīvojamās telpas īrei, iegādei vai būvniecībai, nav noteikts invaliditātes esamība. Ņemot vērā minēto, lūdzam anotācijā skaidrot informācijas par personas invaliditāti apstrādes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ar Tieslietu ministriju un atbilstoši tiek papildināts protokollēmums, kurā norādīts, ka Ekonomikas ministrijai divu gadu laikā ir nepieciešams izstrādāt tiesisko pamatu datu apstrādei.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bērna ar invaliditāti vai pilngadīgas personas ar I vai II invaliditātes grupu dzimšanas apliecības kopiju vai cita dokumenta kopiju, kas apliecina bērna vai personas tiesisko statusu un invaliditātes apliecības vai Veselības un darbspēju ekspertīzes ārstu valsts komisijas lēmuma par invaliditāti kopiju, ja persona pretendē uz atbalsta programmas “Balsts” subsīdiju atbilstoši šo noteikumu 6.</w:t>
            </w:r>
            <w:r w:rsidR="00000000" w:rsidRPr="00000000" w:rsidDel="00000000">
              <w:rPr>
                <w:vertAlign w:val="superscript"/>
                <w:rtl w:val="0"/>
              </w:rPr>
              <w:t xml:space="preserve">5 </w:t>
            </w:r>
            <w:r w:rsidR="00000000" w:rsidRPr="00000000" w:rsidDel="00000000">
              <w:rPr>
                <w:rtl w:val="0"/>
              </w:rPr>
              <w:t xml:space="preserve">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bērna ar invaliditāti vai pilngadīgas personas ar I vai II invaliditātes grupu dzimšanas apliecības kopiju vai cita dokumenta kopiju, kas apliecina bērna vai personas tiesisko statusu un invaliditātes apliecības kopiju, ja persona pretendē uz atbalsta programmas “Balsts” subsīdiju atbilstoši šo noteikumu 6.</w:t>
            </w:r>
            <w:r w:rsidR="00000000" w:rsidRPr="00000000" w:rsidDel="00000000">
              <w:rPr>
                <w:vertAlign w:val="superscript"/>
                <w:rtl w:val="0"/>
              </w:rPr>
              <w:t xml:space="preserve">9</w:t>
            </w:r>
            <w:r w:rsidR="00000000" w:rsidRPr="00000000" w:rsidDel="00000000">
              <w:rPr>
                <w:rtl w:val="0"/>
              </w:rPr>
              <w:t xml:space="preserve">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Nekorekta atsauce uz 6.9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bērna ar invaliditāti vai pilngadīgas personas ar I vai II invaliditātes grupu dzimšanas apliecības kopiju vai cita dokumenta kopiju, kas apliecina bērna vai personas tiesisko statusu un invaliditātes apliecības vai Veselības un darbspēju ekspertīzes ārstu valsts komisijas lēmuma par invaliditāti kopiju, ja persona pretendē uz atbalsta programmas “Balsts” subsīdiju atbilstoši šo noteikumu 6.</w:t>
            </w:r>
            <w:r w:rsidR="00000000" w:rsidRPr="00000000" w:rsidDel="00000000">
              <w:rPr>
                <w:vertAlign w:val="superscript"/>
                <w:rtl w:val="0"/>
              </w:rPr>
              <w:t xml:space="preserve">5 </w:t>
            </w:r>
            <w:r w:rsidR="00000000" w:rsidRPr="00000000" w:rsidDel="00000000">
              <w:rPr>
                <w:rtl w:val="0"/>
              </w:rPr>
              <w:t xml:space="preserve">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Šo noteikumu 3.2.5., 6.3. un 6.4. apakšpunktā minētajām personām, uz kuru vārda zemesgrāmatā ierakstāmas īpašumtiesības uz iegādājamo vai būvējamo dzīvojamo telpu un kuras uzskatāmas par iekšzemes nodokļu maksātājiem (rezidentiem) pēdējos 12 mēnešus, un kuru vidējie ienākumi, par kuriem maksājams iedzīvotāju ienākuma nodoklis, šo noteikumu 4.9. apakšpunktā minētajos datos norādītajā iepriekšējā taksācijas gadā kopsummā bruto nepārsniedz 17 000 </w:t>
            </w:r>
            <w:r w:rsidR="00000000" w:rsidRPr="00000000" w:rsidDel="00000000">
              <w:rPr>
                <w:i w:val="1"/>
                <w:rtl w:val="0"/>
              </w:rPr>
              <w:t xml:space="preserve">euro</w:t>
            </w:r>
            <w:r w:rsidR="00000000" w:rsidRPr="00000000" w:rsidDel="00000000">
              <w:rPr>
                <w:rtl w:val="0"/>
              </w:rPr>
              <w:t xml:space="preserve"> vienai personai atbilstoši šo noteikumu 6.</w:t>
            </w:r>
            <w:r w:rsidR="00000000" w:rsidRPr="00000000" w:rsidDel="00000000">
              <w:rPr>
                <w:vertAlign w:val="superscript"/>
                <w:rtl w:val="0"/>
              </w:rPr>
              <w:t xml:space="preserve">6 </w:t>
            </w:r>
            <w:r w:rsidR="00000000" w:rsidRPr="00000000" w:rsidDel="00000000">
              <w:rPr>
                <w:rtl w:val="0"/>
              </w:rPr>
              <w:t xml:space="preserve">punktam, un kurām nepieder cita dzīvojamā telpa, budžetā paredzamā finansējuma ietvaros vienu reizi ir pieejama atbalsta programmas "Balsts" subsīdija, nepārsniedzot 50 % no dzīvojamās telpas iegādes vai būvniecības darījuma summas,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Ekonomikas  ministrijas (Turpmāk - EM) sagatavoto normatīvā akta projektu  “Grozījumi Ministru kabineta 2018. gada 20. februāra noteikumos Nr. 95 "Noteikumi par valsts palīdzību dzīvojamās telpas iegādei vai būvniecībai"” (turpmāk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3.punktu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piedāvā saglabāt Noteikumu punktā 6</w:t>
            </w:r>
            <w:r w:rsidR="00000000" w:rsidRPr="00000000" w:rsidDel="00000000">
              <w:rPr>
                <w:vertAlign w:val="superscript"/>
                <w:rtl w:val="0"/>
              </w:rPr>
              <w:t xml:space="preserve">5</w:t>
            </w:r>
            <w:r w:rsidR="00000000" w:rsidRPr="00000000" w:rsidDel="00000000">
              <w:rPr>
                <w:rtl w:val="0"/>
              </w:rPr>
              <w:t xml:space="preserve"> esošo slieksni atbalsta pieejamībai 17 000 euro vienai personai, kā arī saglabāt 6.</w:t>
            </w:r>
            <w:r w:rsidR="00000000" w:rsidRPr="00000000" w:rsidDel="00000000">
              <w:rPr>
                <w:vertAlign w:val="superscript"/>
                <w:rtl w:val="0"/>
              </w:rPr>
              <w:t xml:space="preserve">5</w:t>
            </w:r>
            <w:r w:rsidR="00000000" w:rsidRPr="00000000" w:rsidDel="00000000">
              <w:rPr>
                <w:rtl w:val="0"/>
              </w:rPr>
              <w:t xml:space="preserve">1.apakšpunktos minētos robežlielumus 8 000 euro; 10 000 euro un 12 000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2020.gada, kad minētais slieksnis ir ieviests, inflācijas ietekmē ir mainījusies naudas pirktspēja, LDDK ieskatā tiem ir jāpiemēro inflāciju kompensējoši koeficienti.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iebilduma saturs piedāvā paaugstināt maksimālos ienākumu sliekšņus, kas palielinātu atbalsta loka saņēmēju skaitu, kā arī palielināt atbalsta intensitāti, tad lai īstenotu minētos grozījumus ir nepieciešami papildus budžeta finanšu līdzekļi. Ņemot vērā, ka šobrīd papildus pieejami līdzekļi programmai nav pieejami, tāpēc piedāvātos grozījumus atbalsta programmā būs iespējams īstenot tikai pēc papildu budžeta finanšu līdzekļu piešķiršanas atbilstoši turpmākajos gados iesniegtajiem priekšlikumiem budžeta finanšu līdzekļu piešķiršanai prioritāro pasākumu izskatīšanas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Ja uz šo noteikumu 6.1. un 6.2. apakšpunktā minēto personu vārda, ar kurām kopā dzīvo un kuru apgādībā ir vismaz viens nepilngadīgs bērns ar invaliditāti vai pilngadīga persona ar I vai II invaliditātes grupu, kas nav sasniegusi 24 gadu vecumu, kā arī uz šo noteikumu 6.3. un 6.4. apakšpunktā minēto personu vārda zemesgrāmatā ierakstāmas īpašumtiesības uz iegādājamo vai būvējamo dzīvojamo telpu un viņām nepieder cita dzīvojamā telpa, un šīs personas uzskatāmas par iekšzemes nodokļu maksātājiem (rezidentiem) pēdējos 12 mēnešus, un viņu vidējie ienākumi, par kuriem maksājams iedzīvotāju ienākuma nodoklis, šo noteikumu 4.9. apakšpunktā minētajos datos norādītajā iepriekšējā taksācijas gadā kopsummā bruto nepārsniedz 17 000 euro vienai personai atbilstoši šo noteikumu 6.6 punktam, šīm personām budžetā paredzamā finansējuma ietvaros vienu reizi ir pieejama atbalsta programmas "Balsts" subsīdija, nepārsniedzot 50 % no dzīvojamās telpas iegādes vai būvniecības darījuma summas. Subsīdija pieejama šādā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šo noteikumu 3.2.2. apakšpunkta minētajā gadījumā garantijas maksu nosaka garantētāja valdes apstiprinātajā cenrādī. Piemērojamā garantijas maksa ir publicēta garantētāja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lai Altum operatīvi varētu nodrošināt likmes samazināšanu arī turpmāk, noteikumu projekts paredz svītrot nosacījumus par garantijas maksu un maksu noteikt Altum cenrādi, ar ko var iepazīties Altum tīmekļa vietnē. Arī citās Altum īstenotajās programmās maksa tiekot noteikta Altum valdes apstiprinātā cenrādī Altum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projekta anotācijā sniegt skaidrojumu, vai personas varēs paļauties uz labvēlīgu normu arī pēc konkrēta laika perioda, proti, projekta anotācijā norādīts, ka </w:t>
            </w:r>
            <w:r w:rsidR="00000000" w:rsidRPr="00000000" w:rsidDel="00000000">
              <w:rPr>
                <w:i w:val="1"/>
                <w:rtl w:val="0"/>
              </w:rPr>
              <w:t xml:space="preserve">12 mēnešus tiek samazināta likme uz 2,4%, un ka arī turpmāk tiks lemts par samazinājumu,</w:t>
            </w:r>
            <w:r w:rsidR="00000000" w:rsidRPr="00000000" w:rsidDel="00000000">
              <w:rPr>
                <w:rtl w:val="0"/>
              </w:rPr>
              <w:t xml:space="preserve"> taču nav saprotams, kāds tas būtu turpmāk un vai personas varēs paļauties, ka arī turpmāk šis samazinājums nebūs lielāks par 2,4%. Vēršam uzmanību, ka arī no projektā paredzētā regulējuma (piemēram, noslēguma jautājumiem) neizriet, ka šāds likmes samazinājums būs 12 mēnešus.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11.2. apakšpunkts, kas noteiks maksimāli pieļaujamo garantijas maksu. Informējam, ka šobrīd garantijas piešķiršanas maksa ir 4.8% apmērā no piešķirtās garantijas summas un ikgadējā garantijas maksa ir noteikta 4.8% apmērā no atlikušās garantijas summas. Noteikumu projekta grozījumi paredz, ka, lai palīdzētu jaunajiem speciālistiem, kuriem ir pieaugušas hipotekārā kredīta izmaksas no EURIBOR likmes pieauguma, ALTUM samazinās garantijas piešķiršanas un ikgadējās garantijas maksu uz pusi, kā arī paredzēts, ka nākotnē par garantijas piešķiršanas maksu un ikgadējo garantijas maksu lems ALTUM valde.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šo noteikumu 3.2.2. apakšpunkta minētajā gadījumā garantijas maksu nosaka garantētāja valdes apstiprinātajā cenrādī. Piemērojamā garantijas maksa ir publicēta garantētāja tīmekļvietnē. Garantijas piešķiršanas maksa nedrīkst pārsniegt 4.8% apmērā no piešķirtās garantijas summas un garantijas ikgadējā maksa nedrīkst pārsniegt 4,8 % apmērā no atlikušās garantijas 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šo noteikumu 3.2.2. apakšpunkta minētajā gadījumā garantijas maksu nosaka garantētāja valdes apstiprinātajā cenrādī. Piemērojamā garantijas maksa ir publicēta garantētāja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reaģējot uz augstajām EURIBOR likmēm, kā arī, ņemot vērā programmas īstenošanas rezultātus kopš 2018.gada, kas apliecina augstu garantijas saņēmēju maksātspēju, </w:t>
            </w:r>
            <w:r w:rsidR="00000000" w:rsidRPr="00000000" w:rsidDel="00000000">
              <w:rPr>
                <w:b w:val="1"/>
                <w:rtl w:val="0"/>
              </w:rPr>
              <w:t xml:space="preserve">ar noteikumu projektu ir paredzēts uz 12 mēnešiem garantijas maksu samazināt par 50% uz 2,4%</w:t>
            </w:r>
            <w:r w:rsidR="00000000" w:rsidRPr="00000000" w:rsidDel="00000000">
              <w:rPr>
                <w:rtl w:val="0"/>
              </w:rPr>
              <w:t xml:space="preserve">. Savukārt, pēc 12 mēnešiem atkārtoti lemt par maksas iespējamu samazināšanu. Un lai Altum operatīvi varētu nodrošināt likmes samazināšanu arī turpmāk, noteikumu projekts paredz svītrot nosacījumus par garantijas maksu un maksu noteikt Altum cenrādi, ar ko var iepazīties Altum tīmekļa vietnē. Arī citās Altum īstenotajās programmās maksa tiekot noteikta Altum valdes apstiprinātā cenrādī Altum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noteikuma projekta 11.2. apakšpunkta nav saprotamas konkrētas likmes, kuras, savukārt, ir norādītas projekta anotācijā, proti, samazinot uz 12 mēnešiem garantijas maksu par 50% uz 2,4%. Attiecīgi, lai tiesību normu piemērotājiem un sabiedrībai būtu skaidras likmes, tai skaitā, tas ka ar grozījumiem likmes netiks palielinātas, iesakām precizēt projektu (sk. arī iepriekšējo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no projekta anotācijas nav saprotams, kas ir citas Altum īstenotās programmas, kurās maksa tiek noteikta Altum valdes apstiprinātā cenrādī Altum tīmekļa vietnē. Attiecīgi lūdzam sniegt konkrētu informāciju projekta anotācijā. Vēršam uzmanību, ka noteikumu 11.1.apakšpunktā garantijas maksa ir saglabāta.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garantijas maksu jaunajiem speciālistiem ir paredzēts noteikt ar ALTUM valdes apstiprinātu cenrādi un citām atbalsta saņēmēju grupām (ģimenes ar bērniem, NBS karavīri) garantijas maksu nav paredzēts mainīt, jo tā šobrīd daļēji tiek finansēta no valsts budžeta. Jauno speciālistu garantija ir komercgarantija- tai netiek piešķirts valsts budžets un visas ar garantiju saistītās izmaksas sedz garantijas saņēmējs maksājot garantijas maksu. Lai segtu ar komercgarantiju saistītās izmaksas bez valsts budžeta finansējuma (kredītriski, administratīvās izmaksas) atbalsta saņēmējs ir maksājis augstāku garantijas maksu nekā citas atbalsta grupas. Ņemot vērā pieaugošās EURIBOR likmes, starp Ekonomikas ministriju un ALTUM ir panākta vienošanās, ka garantijas piešķiršanas, kā arī garantijas ikgadējā maksa jaunajiem speciālistiem tiks samazināta par 50% uz gadu, taču šo šobrīd nevar izdarīt, jo MK noteikumos ir noteikta garantijas maksa 4.8% apmērā. Lai nākotnē ALTUM spētu operatīvi mainīt garantijas maksu, noteikumu projektā ir paredzēts, ka garantijas maksu noteiks ALTUM valde, taču balstoties uz Tieslietu ministrijas otru iebildumu, esam papildinājuši noteikumu projekta 11.2. apakšpunktu ar atrunu, ka garantijas piešķiršanas un ikgadējā garantijas maksa nedrīkst pārsniegt 4.8%, jeb tā nedrīkst būt augstāka kāda tā ir noteikta šobrīd. Noteikumu projekta anotācija papildināta ar piemēriem, kur ALTUM valde ir noteikusi cenrādi saviem sniegtajiem pakalpojumiem.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šo noteikumu 3.2.2. apakšpunkta minētajā gadījumā garantijas maksu nosaka garantētāja valdes apstiprinātajā cenrādī. Piemērojamā garantijas maksa ir publicēta garantētāja tīmekļvietnē. Garantijas piešķiršanas maksa nedrīkst pārsniegt 4.8% apmērā no piešķirtās garantijas summas un garantijas ikgadējā maksa nedrīkst pārsniegt 4,8 % apmērā no atlikušās garantijas 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februāra noteikumos Nr. 95 "Noteikumi par valsts palīdzību dzīvojamās telpas iegādei vai būvniecībai"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Ekonomikas  ministrijas (Turpmāk - EM) precizēto normatīvā akta projektu  “Grozījumi Ministru kabineta 2018. gada 20. februāra noteikumos Nr. 95 "Noteikumi par valsts palīdzību dzīvojamās telpas iegādei vai būvniecībai"” (turpmāk  - Projekts) un, ņemot vērā EM paskaidrojumu, ka Ministru kabineta 01.11.2023. ārkārtas sēdes pieņemtajā likumprojektā "Par valsts budžetu 2024. gadam un budžeta ietvaru 2024., 2025. un 2026. gadam" protokollēmum 7.2. punktā ir paredzēts, ka ministrijas nesniedz priekšlikumus, kas pasliktina valsts budžeta finansiālo bilanci, neuztur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LDDK iebildumus par projektu un priekšlikumus izteica pirms Ministru kabineta 01.11.2023. ārkārtas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apstiprināšanas steidzamību, noteiktu projekts netiks saskaņots ar minēto institūciju.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precizētais noteikumu projekts paredz papildu atbalstu jaunajiem speciālistiem, piemērojot garantijas maksu samazinātā apmērā, attiecīgi lūdzam papildināt anotācijas 3.sadaļas punktu “Cita informāciju” ar informāciju par minētā atbalsta sniegšanas izdevumu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nepieciešamais finansējums noteikumu projekta īstenošanai tiks nodrošināts no norādītās finansējuma ekonomijas Altum budžetā un turpmākajiem gadiem Ekonomikas ministrijas budžetā atbalsta programmai “Balsts”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6. sadaļu. 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8.1.13.sadaļu ar informāciju, ka finansējums likumā “Par palīdzību dzīvokļa jautājumu risināšanā” 27.</w:t>
            </w:r>
            <w:r w:rsidR="00000000" w:rsidRPr="00000000" w:rsidDel="00000000">
              <w:rPr>
                <w:vertAlign w:val="superscript"/>
                <w:rtl w:val="0"/>
              </w:rPr>
              <w:t xml:space="preserve">1</w:t>
            </w:r>
            <w:r w:rsidR="00000000" w:rsidRPr="00000000" w:rsidDel="00000000">
              <w:rPr>
                <w:rtl w:val="0"/>
              </w:rPr>
              <w:t xml:space="preserve"> panta otrajā daļā precizētajam personu lokam, kas var pretendēt uz valsts sniegto palīdzību, tiks nodrošināts anotācijas 3.sadaļā norādītā Ekonomikas ministrijas budžetā un Altum budžetā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2018. gada 20. februāra noteikumos Nr. 95 "Noteikumi par valsts palīdzību dzīvojamās telpas iegādei vai būvniecībai""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protokollēmuma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2018. gada 20. februāra noteikumos Nr. 95 "Noteikumi par valsts palīdzību dzīvojamās telpas iegādei vai būvniecībai""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palīdzību dzīvojamās telpas iegādei vai būvniecībai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atzinīgi novērtē Ekonomikas ministrijas veiktos grozījumus Ministru kabineta noteikumos "Noteikumi par valsts palīdzību dzīvojamās telpas iegādei vai būvniecībai", tādējādi veicinot ģimenes, kuru aprūpē ir bērni ar invaliditāti iespējas iegādāties vai pielāgot mājokli to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Ekonomikas ministrijas uzmanību, ka tiesības uz mājokli ir vienas no cilvēka pamattiesībām. Ratificējot ANO Konvenciju par personu ar invaliditāti tiesībām, Latvija ir apņēmusies nodrošināt un veicināt to, lai visas personas ar invaliditāti varētu pilnībā īstenot visas cilvēktiesības un pamatbrīvības bez jebkāda veida diskriminācijas invaliditātes dēļ, tostarp tiesības uz mājokli.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 it īpaši ar smagu un ļoti smagu invaliditāti, ir pakļautas augstākam nabadzības un sociālas atstumtības riskam, ņemot vērā, ka savu ierobežoto darbspēju un veselības traucējumu dēļ nereti nespēj gūt pietiekamus un pastāvīgus ienākumus, kas rada tiešu un negatīvu ietekmi uz personas iespējām iegādāties mājokli vai veiktu nepieciešamos pasākumus, lai pielāgotu īpašumā vai lietojumā esošo mājokli.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iespēju veidot mehānismu, ar kura palīdzību arī pilngadīgām personām ar invaliditāti (izpildoties noteiktiem kritērijiem un nosacījumiem) būtu iespēja saņemt valsts atbalstu mājokļa iegādei vai būvniecībai.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konkrētās atbalsta programmas mērķis ir atbalsta sniegšana ģimenēm ar bērniem un Jaunajiem speciālistiem, kuriem ir pastāvīgi un pietiekami augsti ienākumi, lai atļautos hipotekāro kredītu mājokļa iegādei vai būvniecībai, bet nav pietiekamu uzkrājumu pirmās iemaksas veikšanai. Saprotot un nākot pretī ģimeņu, kuros aug bērni ar invaliditāti lūgumiem, un ievērojot apstākli, ka šīm ģimenēm ir nepieciešams papildus finansējums mājokļa pielāgošanai, lai uzlabotu tā piekļūstamību, kā arī ikdienas izdevumi bērna vajadzību nodrošināšanai var būt lielāki nekā tas ir veselam bērnam (medikamenti, īpašs transports, u.c. izmaksas), un attiecīgi šo ģimeņu rīcībā esošie ienākumi neļauj sakrāt pietiekamus naudas līdzekļus pirmajai iemaksai hipotekārajam aizdevumam, esam iekļāvuši arī šīs ģimenes specifiskā atbalsta saņemšanai. Vēršam uzmanību, ka atbalsta programmas paplašināšana tiek veikta pieejamo budžeta finanšu līdzekļu ietvaros. Ņemot vērā, ka šobrīd papildus finanšu līdzekļi papildus atbalsta mērķa grupu iekļaušanai atbalsta programmā "Balsts" nav pieejami, tad piedāvātos grozījumus atbalsta programmā būs iespējams īstenot tikai pēc papildu budžeta finanšu līdzekļu piešķiršanas atbilstoši turpmākajos gados iesniegtajiem priekšlikumiem budžeta finanšu līdzekļu piešķiršanai prioritāro pasākumu izskatīšanas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palīdzību dzīvojamās telpas iegādei vai būvniecībai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personai, ar kuru kopā dzīvo un kuras apgādībā ir vismaz viens nepilngadīgs bērns ar invaliditāti vai pilngadīga persona, kas nav sasniegusi 24 gadu vecumu ar I vai II invaliditātes grupu un darījuma summa nepārsniedz 250 000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apgādībā esošam nepilngadīgam bērnam netiks norādīta kāda konkrēta invaliditātes grupa.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Invaliditātes likuma 6. panta pirmā daļa nosaka, ka personām līdz 18 gadu vecumam invaliditāti nosaka bez iedalījuma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bērna ar invaliditāti vai pilngadīgas personas ar I vai II invaliditātes grupu dzimšanas apliecības kopiju vai cita dokumenta kopiju, kas apliecina bērna vai personas tiesisko statusu un invaliditātes apliecības kopiju, ja persona pretendē uz atbalsta programmas “Balsts” subsīdiju atbilstoši šo noteikumu 6.</w:t>
            </w:r>
            <w:r w:rsidR="00000000" w:rsidRPr="00000000" w:rsidDel="00000000">
              <w:rPr>
                <w:vertAlign w:val="superscript"/>
                <w:rtl w:val="0"/>
              </w:rPr>
              <w:t xml:space="preserve">5 </w:t>
            </w:r>
            <w:r w:rsidR="00000000" w:rsidRPr="00000000" w:rsidDel="00000000">
              <w:rPr>
                <w:rtl w:val="0"/>
              </w:rPr>
              <w:t xml:space="preserve">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4.13.apakšpunktu ar vārdiem "Veselības un darbspēju ekspertīzes ārstu valsts komisijas lēmuma par invaliditāti vai", tādējādi paredzot, ka persona var iesniegt vai nu invaliditātes apliecības kopiju vai lēmuma kopiju. Informējam, ka invaliditātes apliecības saņemšana ir personas brīvprātīga izvēle un ne visas personas to ir pieprasījušas (saskaņā ar Ministru kabineta 2014.gada 23.decembra noteikumu Nr.805 1.pielikuma 7.punktu persona brīvprātīgi atzīmē, vai kopā ar lēmumu par invaliditāti tā vēlas saņemt arī apliecību). Tādējādi primārais dokuments ir tieši lēmums (administratīvais akts), ar kuru tiek nodibinātas tiesiskās sekas un personai noteikta invaliditāte. Savukārt kredītkartes formāta dokuments - invaliditātes apliecība tiek izsniegta tikai tad, ja persona tādu vēlas saņemt. Galvenokārt to izvēlas saņemt tās personas ar invaliditāti, kas aktīvi izmanto braukšanas maksas atvieglojumus sabiedriskajā transportā, taču vēršam uzmanību, ka tuvākajā laikā stāsies spēkā jauna kārtība – lai saņemtu bezmaksas braucienu, persona autentificēsies transportlīdzeklī (terminālī) ar savu jaunā parauga eID karti (kurā elektroniski būs nolasāma invaliditātes pazīme, jo Pilsonības un migrācijas lietu pārvalde (kas izsniedz eID kartes) automātiski saņems datus par personai noteikto invaliditāti no Veselības un darbspēju ekspertīzes ārstu valsts komisijas Invaliditātes informatīvās sistēmas). Līdz ar to prognozējams, ka arvien mazāk būs to personu, kas pieprasīs apliecību, savukārt lēmums par invaliditāti būs pieejams ikvienai personai, kurai noteikts invaliditātes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bērna ar invaliditāti vai pilngadīgas personas ar I vai II invaliditātes grupu dzimšanas apliecības kopiju vai cita dokumenta kopiju, kas apliecina bērna vai personas tiesisko statusu, un Veselības un darbspēju ekspertīzes ārstu valsts komisijas lēmuma par invaliditāti vai invaliditātes apliecības kopiju, ja persona pretendē uz atbalsta programmas “Balsts” subsīdiju atbilstoši šo noteikumu 6.5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bērna ar invaliditāti vai pilngadīgas personas ar I vai II invaliditātes grupu dzimšanas apliecības kopiju vai cita dokumenta kopiju, kas apliecina bērna vai personas tiesisko statusu un invaliditātes apliecības vai Veselības un darbspēju ekspertīzes ārstu valsts komisijas lēmuma par invaliditāti kopiju, ja persona pretendē uz atbalsta programmas “Balsts” subsīdiju atbilstoši šo noteikumu 6.</w:t>
            </w:r>
            <w:r w:rsidR="00000000" w:rsidRPr="00000000" w:rsidDel="00000000">
              <w:rPr>
                <w:vertAlign w:val="superscript"/>
                <w:rtl w:val="0"/>
              </w:rPr>
              <w:t xml:space="preserve">5 </w:t>
            </w:r>
            <w:r w:rsidR="00000000" w:rsidRPr="00000000" w:rsidDel="00000000">
              <w:rPr>
                <w:rtl w:val="0"/>
              </w:rPr>
              <w:t xml:space="preserve">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bērna ar invaliditāti vai pilngadīgas personas ar I vai II invaliditātes grupu dzimšanas apliecības kopiju vai cita dokumenta kopiju, kas apliecina bērna vai personas tiesisko statusu un invaliditātes apliecības kopiju, ja persona pretendē uz atbalsta programmas “Balsts” subsīdiju atbilstoši šo noteikumu 6.</w:t>
            </w:r>
            <w:r w:rsidR="00000000" w:rsidRPr="00000000" w:rsidDel="00000000">
              <w:rPr>
                <w:vertAlign w:val="superscript"/>
                <w:rtl w:val="0"/>
              </w:rPr>
              <w:t xml:space="preserve">9</w:t>
            </w:r>
            <w:r w:rsidR="00000000" w:rsidRPr="00000000" w:rsidDel="00000000">
              <w:rPr>
                <w:rtl w:val="0"/>
              </w:rPr>
              <w:t xml:space="preserve">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4.13. apakšpunkts satur norādi uz noteikumu 6.</w:t>
            </w:r>
            <w:r w:rsidR="00000000" w:rsidRPr="00000000" w:rsidDel="00000000">
              <w:rPr>
                <w:vertAlign w:val="superscript"/>
                <w:rtl w:val="0"/>
              </w:rPr>
              <w:t xml:space="preserve">9 </w:t>
            </w:r>
            <w:r w:rsidR="00000000" w:rsidRPr="00000000" w:rsidDel="00000000">
              <w:rPr>
                <w:rtl w:val="0"/>
              </w:rPr>
              <w:t xml:space="preserve">apakšpunktu, ņemot vērā to, ka šāds apakšpunkts noteikumos nav, lūdzam precizēt projektu, norādot atbilstošu normu.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bērna ar invaliditāti vai pilngadīgas personas ar I vai II invaliditātes grupu dzimšanas apliecības kopiju vai cita dokumenta kopiju, kas apliecina bērna vai personas tiesisko statusu un invaliditātes apliecības vai Veselības un darbspēju ekspertīzes ārstu valsts komisijas lēmuma par invaliditāti kopiju, ja persona pretendē uz atbalsta programmas “Balsts” subsīdiju atbilstoši šo noteikumu 6.</w:t>
            </w:r>
            <w:r w:rsidR="00000000" w:rsidRPr="00000000" w:rsidDel="00000000">
              <w:rPr>
                <w:vertAlign w:val="superscript"/>
                <w:rtl w:val="0"/>
              </w:rPr>
              <w:t xml:space="preserve">5 </w:t>
            </w:r>
            <w:r w:rsidR="00000000" w:rsidRPr="00000000" w:rsidDel="00000000">
              <w:rPr>
                <w:rtl w:val="0"/>
              </w:rPr>
              <w:t xml:space="preserve">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Aizdevējs nodod garantētājam tā pieprasīto informāciju un dokumentus, tajā skaitā informāciju un dokumentus, ko aizdevējs saņēmis no aizņēmēja un kas garantētājam nepieciešama pārbaužu veikšanai, garantijas izvērtēšanai vai citiem garantētāja noteiktiem mērķiem. Kārtību, kādā aizdevējs sniedz garantētājam prasīto informāciju, garantētājs un aizdevējs var noteikt sadarbības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bankas rūpīgi vērtē jautājumu par personas datu nodošanu (it sevišķi sensitīvo datu, kas šajā gadījumā tiks nodoti ALTUM), LFNA izsaka priekšlikumu 23.3  punktu izteikt šādi: “23.3 Aizdevējs nodod garantētājam tā pieprasīto informāciju un dokumentus, ko aizdevējs saņēmis no aizņēmēja ievērojot šo noteikumu 4., 5. un 5.1 punktā noteikto un kas garantētājam nepieciešama pārbaužu veikšanai, garantijas un/vai atbalsta programmas “Balsts” subsīdijas izvērtēšanai vai citiem garantētāja noteiktiem mērķiem. Kārtību, kādā aizdevējs sniedz garantētājam prasīto informāciju, garantētājs un aizdevējs var noteikt sadarbības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Aizdevējs nodod garantētājam tā pieprasīto informāciju un dokumentus, ko aizdevējs saņēmis no aizņēmēja ievērojot šo noteikumu 4., 5. un 5.1 punktā noteikto un kas garantētājam nepieciešama pārbaužu veikšanai, garantijas un/vai atbalsta programmas “Balsts” subsīdijas izvērtēšanai vai citiem garantētāja noteiktiem mērķiem. Kārtību, kādā aizdevējs sniedz garantētājam prasīto informāciju, garantētājs un aizdevējs var noteikt sadarbības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ALTUM ir nepieciešama informācija un dati, kas nepieciešami atbalsta programmas darbības analīzei un programmu darbības uzlabošanai, priekšlikums 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Aizdevējs nodod garantētājam tā pieprasīto informāciju un dokumentus, tajā skaitā informāciju un dokumentus, ko aizdevējs saņēmis no aizņēmēja un kas garantētājam nepieciešama pārbaužu veikšanai, garantijas izvērtēšanai vai citiem garantētāja noteiktiem mērķiem. Kārtību, kādā aizdevējs sniedz garantētājam prasīto informāciju, garantētājs un aizdevējs var noteikt sadarbības līgumā.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23-TA-2121</w:t>
    </w:r>
    <w:r>
      <w:br/>
    </w:r>
    <w:r w:rsidR="00000000" w:rsidRPr="00000000" w:rsidDel="00000000">
      <w:rPr>
        <w:rtl w:val="0"/>
      </w:rPr>
      <w:t xml:space="preserve">13.12.2023. 13.26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23-TA-2121</w:t>
    </w:r>
    <w:r>
      <w:br/>
    </w:r>
    <w:r w:rsidR="00000000" w:rsidRPr="00000000" w:rsidDel="00000000">
      <w:rPr>
        <w:rtl w:val="0"/>
      </w:rPr>
      <w:t xml:space="preserve">13.12.2023. 13.26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Izziņa_23-TA-2121.docx</dc:title>
</cp:coreProperties>
</file>

<file path=docProps/custom.xml><?xml version="1.0" encoding="utf-8"?>
<Properties xmlns="http://schemas.openxmlformats.org/officeDocument/2006/custom-properties" xmlns:vt="http://schemas.openxmlformats.org/officeDocument/2006/docPropsVTypes"/>
</file>