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26-TA-2024: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17. oktobra noteikumos Nr. 593 "Eiropas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(21.11.2025.)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27.08.2026. 11:29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 ar projekta darbībām tieši saistīto komunikācijas un vizuālās identitātes prasību nodrošināšanas pasākumu izmaksas atbilstoši normatīvajiem aktiem par kārtību, kādā nodrošināma komunikācijas un vizuālās identitātes prasību ievērošana, kas nepārsniedz divus procentus no projekta kopējām attiecināmajām tiešajām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 apakšpunktā nav noteikts, vai procentuālais ierobežojums aprēķināms no projekta plānotajām vai faktiskajām attiecināmajām izmaksām. Ņemot vērā Revīzijas iestādes konstatējumus par situācijām, kad projekta īstenošanas gaitā rodas ietaupījums vai tiek konstatēti pārkāpumi, kuru rezultātā paredzēta nepamatoti izmaksāto vai neatļauti izmantoto līdzekļu atgūšana, pastāv risks, ka var tikt konstatēts procentuālā ierobežojuma pārsniegums arī gadījumos, kad izdevumi atbilst apstiprinātajam projekta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procentuālā ierobežojuma piemērošanas nosacījumus, nodrošinot, lai tie būtu viennozīmīgi, saprotami un praksē vienādi piemērojami visām iesaistītajām pusēm, nosakot, ka procentuālais ierobežojums tiek aprēķināts attiecībā pret projekta </w:t>
            </w:r>
            <w:r w:rsidR="00000000" w:rsidRPr="00000000" w:rsidDel="00000000">
              <w:rPr>
                <w:u w:val="single"/>
                <w:rtl w:val="0"/>
              </w:rPr>
              <w:t xml:space="preserve">plānotajām</w:t>
            </w:r>
            <w:r w:rsidR="00000000" w:rsidRPr="00000000" w:rsidDel="00000000">
              <w:rPr>
                <w:rtl w:val="0"/>
              </w:rPr>
              <w:t xml:space="preserve">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procentuālie ierobežojumi noteikti vairākos citos noteikumu punktos (32.1.8., 32.2.3., 32.3.5., 32.3.6., 32.4.3., 32.8., 32.9.), lūdzam izvērtēt nepieciešamību precizēt arī norādītos 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priekšlikumā norādīto, ir izvērtēta iespēja precizēt MK 17.10.2023. noteikumos Nr. 593 noteiktos procentuālā ierobežojuma piemērošanas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ietvertie grozījumi ir vērsti tikai uz 6.1.1.3. pasākuma pirmās atlases kārtas projektu īstenošanas termiņu pagarināšanu, kas tiek virzīts steidzamības kārtībā, kas ļautu finansējuma saņēmējiem, galvenokārt, pašvaldībām, t.sk. Austrumu pierobežā, pēc iespējas ātrāk nodrošināt finanšu kapacitāti, piemēram, saņemt aizdevumu projektu darbību īstenošanai uzņēmējdarbībai nepieciešamās publiskās infrastruktūras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izteiktais priekšlikums, pēc papildu izvērtēšanas, varētu tikt ņemts vērā pie nākamajiem visaptverošajiem grozījumiem MK 17.10.2023. noteikumos Nr. 593.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 ar projekta darbībām tieši saistīto komunikācijas un vizuālās identitātes prasību nodrošināšanas pasākumu izmaksas atbilstoši normatīvajiem aktiem par kārtību, kādā nodrošināma komunikācijas un vizuālās identitātes prasību ievērošana, kas nepārsniedz divus procentus no projekta kopējām attiecināmajām tiešajām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32.10.1. tās nepārsniedz 84 787 </w:t>
            </w:r>
            <w:r w:rsidR="00000000" w:rsidRPr="00000000" w:rsidDel="00000000">
              <w:rPr>
                <w:i w:val="1"/>
                <w:rtl w:val="0"/>
              </w:rPr>
              <w:t xml:space="preserve">euro</w:t>
            </w:r>
            <w:r w:rsidR="00000000" w:rsidRPr="00000000" w:rsidDel="00000000">
              <w:rPr>
                <w:rtl w:val="0"/>
              </w:rPr>
              <w:t xml:space="preserve"> gadā, ja tiešās attiecināmās izmaksas ir lielākas par 5 000 000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svītrot noteikumu 32.10.1., 32.10.2. un 32.10.3. apakšpunktus, ņemot vērā, ka 09.06.2025. veikti grozījumi attiecināmo izmaksu noteikšanas vadlīnijās, kurās vairs nav iekļauti nosacījumi tiešo projektu vadības personāla izmaksu maksimālajiem ierobežojumiem projektos līdz un virs 5 000 000 EUR, kā arī vadlīnijās vairs nav noteikts nosacījums par 30% noslodzi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priekšlikumā norādīto, ir izvērtēta iespēja svītrot MK 17.10.2023. noteikumos Nr. 593 32.10.1., 32.10.2. un 32.10.3.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ietvertie grozījumi ir vērsti tikai uz 6.1.1.3. pasākuma pirmās atlases kārtas projektu īstenošanas termiņu pagarināšanu, kas tiek virzīts steidzamības kārtībā, kas ļautu finansējuma saņēmējiem, galvenokārt, pašvaldībām, t.sk. Austrumu pierobežā, pēc iespējas ātrāk nodrošināt finanšu kapacitāti, piemēram, saņemt aizdevumu projektu darbību īstenošanai uzņēmējdarbībai nepieciešamās publiskās infrastruktūras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izteiktais priekšlikums, pēc papildu izvērtēšanas, varētu tikt ņemts vērā pie nākamajiem visaptverošajiem grozījumiem MK 17.10.2023. noteikumos Nr. 593.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32.10.1. tās nepārsniedz 84 787 </w:t>
            </w:r>
            <w:r w:rsidR="00000000" w:rsidRPr="00000000" w:rsidDel="00000000">
              <w:rPr>
                <w:i w:val="1"/>
                <w:rtl w:val="0"/>
              </w:rPr>
              <w:t xml:space="preserve">euro</w:t>
            </w:r>
            <w:r w:rsidR="00000000" w:rsidRPr="00000000" w:rsidDel="00000000">
              <w:rPr>
                <w:rtl w:val="0"/>
              </w:rPr>
              <w:t xml:space="preserve"> gadā, ja tiešās attiecināmās izmaksas ir lielākas par 5 000 000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Finansējuma saņēmējs nodrošina, ka projektā tiek paredzēts zaļais publiskais iepirkums būvdarbu vai preču vai pakalpojumu grupās, kurās ir izstrādāts regulējums normatīvajos aktos par prasībām zaļajam publiskajam iepirkumam un to piemērošanas kārtību. Atbalstāma ir vides piekļūstamības un izmantojamības nodrošināšana, veicot sociāli atbildīgu publisko iepirkumu, kur tas ir attiecināms un atbilst ieguldījumu specifikai.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Publisko iepirkumu likumā tika izslēgts 19. pants “Zaļais publiskais iepirkums” un 09.06.2026. zaudēja spēku Ministru kabineta 20.06.2017. noteikumi Nr. 353 “Prasības zaļajam publiskajam iepirkumam un to piemērošanas kārtība” un vides prasību integrācija iepirkumos turpmāk tiek īstenota ar stratēģisko iepirkumu "Ietekmes uz vidi mazināšana" (atbilstoši IUB publicētajam skaidrojumam), vienlaikus, saskaņā ar Publisko iepirkumu likuma pārejas noteikumu 27. punktu līdz 08.06.2026. (ieskaitot) uzsāktie vai izsludinātie iepirkumi pabeidzami atbilstoši to uzsākšanas vai izsludināšanas laikā spēkā esošajam regulējumam, rosinām izvērtēt vai nepieciešami precizējumi MK noteikumu projekta 76.punktā.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Atbalstāma ir vides piekļūstamības un izmantojamības nodrošināšana, veicot sociāli atbildīgu publisko iepirkumu, kur tas ir attiecināms un atbilst ieguldījumu specifikai.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26-TA-2024</w:t>
    </w:r>
    <w:r>
      <w:br/>
    </w:r>
    <w:r w:rsidR="00000000" w:rsidRPr="00000000" w:rsidDel="00000000">
      <w:rPr>
        <w:rtl w:val="0"/>
      </w:rPr>
      <w:t xml:space="preserve">15.09.2026. 16.01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26-TA-2024</w:t>
    </w:r>
    <w:r>
      <w:br/>
    </w:r>
    <w:r w:rsidR="00000000" w:rsidRPr="00000000" w:rsidDel="00000000">
      <w:rPr>
        <w:rtl w:val="0"/>
      </w:rPr>
      <w:t xml:space="preserve">15.09.2026. 16.01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Izziņa_26-TA-2024.docx</dc:title>
</cp:coreProperties>
</file>

<file path=docProps/custom.xml><?xml version="1.0" encoding="utf-8"?>
<Properties xmlns="http://schemas.openxmlformats.org/officeDocument/2006/custom-properties" xmlns:vt="http://schemas.openxmlformats.org/officeDocument/2006/docPropsVTypes"/>
</file>