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23-TA-908: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(LAPNA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precizētu jaunputnu novietņu statusu. Pēc 35. punkta esošajā redakcijā un 10. pielikuma jaunās redakcijas tā ir atbilstoša aktivitāte, bet pēc 2. un 4. pielikuma nav, jo tur tehniski ir atrunāta tikai dējējvistu novietņu jaunbūve.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iekļaut arī jaunputnu novietnes.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tika papildināts noteikumu 35.punkts, paplašinot punktā tvērumu.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(turpmāk ZSA) ir iepazinusies ar Zemkopības ministrijas (turpmāk ZM) sagatavoto  Ministru kabineta noteikumu projektu "Grozījumi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 (23-TA-908) un sniedz sekojošus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ZSA neatbalsta ZM iecerētos grozījumus noteikumos, kas tiek papildināti ar 52.5. apakšpunktu, nosakot, ka putnkopības un cūkkopības nozares lauku saimniecībām, īstenojot projektu atbilstoši noteikumu 35. punktā minētajam, maksimālais attiecināmo izmaksu apmērs tiek palielināts no 2 000 000  līdz 4 000 000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daļu no atlikušā finansējuma putnkopības vai cūkkopības nozarei, tas ir  6 000 000 euro novirzīt apakšpasākumam “4.2.Atbalsts ieguldījumiem pārstrādē”, ja ieguldījumi paredzēti energoefektivitātē un atjaunojamos resursos, kā arī paredz eksportspējas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attiecināmo izmaksu griesti 4 000 000 miljoni nav pat Latvijas lielākajām kooperatīvajām sabiedrībām, kā arī lauksaimnieku aploksnei maksimālās attiecināmās izmaksas tiek saglabātas 2 000 000 euro apmērā, tādejādi radot nevienlīdzīgu konkurenci starp dažādu nozaru lauksaimniecības produkcijas ražotājiem. Tāpat arī atgādinām, ka pēdējās investīciju kārtās ir bijis būtisks finansējuma iztrūkums lielo saimniecību grupā, kurā startē arī cūkkopības un putnkopības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veiksmīgāk sasniegtu ZM nospraustos mērķus, aicinām gaidāmo investīciju kārtu paredzēt tikai vides, klimata, energoefektivitātes un atjaunojamās enerģijas pasākumiem visās saimniecību grupās (mazās, vidējās, lielās), novirzot plānveida un iepriekšējās kārtās neapgūto IMA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ZSA aicina ZM veikt sarunas ar Klimata un enerģētikas ministriju, ņemot vērā, ka lielai daļai arī lauksaimniecības produkcijas ražotāju pašlaik nav iespējams veikt jaunus pieslēgumus elektrotīklam un uzsākt atjaunojamās enerģijas ražošanu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ieguldījumus energoefektivitātē, atbalstām priekšlikumu, ka tiek paplašināts attiecināmo ieguldījumu loks, precizējot noteikumu 28. punktu un nosakot, ka ir atbalstāma tādu iekārtu iegāde, kurām ir augstākais energoefektivitātes marķējums.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74.9.2. apakšpunkta grozījumus, nosakot, ka atbalsta pretendentam Lauku atbalsta dienestā līdz ar projekta iesniegumu ir jāiesniedz arī informācija par iekārtu energoefektivitātes marķējumu, lai apliecinātu augstāko energoefektivitātes marķējumu.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ZM sniegt skaidrojumu vai zem šiem punktiem tiks attiecinātās iekārtas, būves kuru energoefektivitāte ir lielāka nekā pārējām iekārtām, būvēm (graudu kaltes ar minimālo apsaisti, ventilējami bunkuri, noliktavas ar grīdas ventilāciju, iekārtas ar inteleģentajām vadības sistēmām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labojumus noteikumu projekta anotācijā par sabiedrības līdzdalības rezultātiem attiecībā uz ZSA viedokli 2023. gada 20. aprīļa Lauksaimnieku nevalstisko organizāciju konsultatīvās padomes sēdē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neatbalstīja Zemkopības ministrijas ierosinājumu maksimālo attiecināmo izmaksu apmēru cūkkopības un putnkopības uzņēmumiem palielināt no 2 000 000  līdz 4 000 000 euro. Lai veiksmīgāk sasniegtu ZM nospraustos mērķus, ZSA aicināja gaidāmo investīciju kārtu paredzēt tikai vides, klimata, energoefektivitātes un atjaunojamās enerģijas pasākumiem visās saimniecību grupās (mazās, vidējās, lielās), novirzot plānveida un iepriekšējās kārtās neapgūto IMA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ZSA neatbalsta noteikuma proketa virzību esošajā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putnkopības un cūkkopības nozares nozaru noturību un gatavību izaicinājumiem, ko rada izmaiņas normatīvos aktos saistībā ar labturības prasībām, kā arī mazinātu riskus ko rada putnu gripas vai Āfrikas cūku mēra izplatība, atbalstītu ieguldījumus biodrošības pasākumu īstenošanā, veicinātu ieguldījumus, lai mazinātu SEG un amonjaka emisijas, noteikumos veiktas izmaiņas palielinot maksimālo attiecināmo izmaksu apjomu vienam atbalsta pretendentam, īstenojot ieguldījumus cūkkopības un putnkopības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2021. gada 30. novembra noteikumos Nr. 776 "Valsts un Eiropas Savienības atbalsta piešķiršanas kārtība atklātu projektu konkursa veidā pasākumā "Ieguldījumi materiālajos aktīvos" 2014.–2020. gada plānošanas perioda pārejas laikā 2021. un 2022. gadā" (Latvijas Vēstnesis, 2021, 237. nr.; 2022, 29., 216.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(LLKA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Neatbalsta ZM iecerētos grozījumus noteikumos, kas tiek papildināti ar 52.5. apakšpunktu, nosakot, ka putnkopības un cūkkopības nozares lauku saimniecībām, īstenojot projektu atbilstoši noteikumu 35. punktā minētajam, maksimālais attiecināmo izmaksu apmērs tiek palielināts no 2 000 000  līdz 4 000 000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daļu no atlikušā finansējuma putnkopības vai cūkkopības nozarei, tas ir  6 000 000 euro novirzīt apakšpasākumam “4.2.Atbalsts ieguldījumiem pārstrādē”, ja ieguldījumi paredzēti energoefektivitātē un atjaunojamos resursos, kā arī paredz eksportspējas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attiecināmo izmaksu griesti 4 000 000 miljoni nav pat Latvijas lielākajām kooperatīvajām sabiedrībām, kā arī lauksaimnieku aploksnei maksimālās attiecināmās izmaksas tiek saglabātas 2 000 000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putnkopības un cūkkopības nozares nozaru noturību un gatavību izaicinājumiem, ko rada izmaiņas normatīvos aktos saistībā ar labturības prasībām, kā arī mazinātu riskus ko rada putnu gripas vai Āfrikas cūku mēra izplatība, atbalstītu ieguldījumus biodrošības pasākumu īstenošanā, veicinātu ieguldījumus, lai mazinātu SEG un amonjaka emisijas, noteikumos veiktas izmaiņas palielinot maksimālo attiecināmo izmaksu apjomu vienam atbalsta pretendentam, īstenojot ieguldījumus cūkkopības un putnkopības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8</w:t>
            </w:r>
            <w:r w:rsidR="00000000" w:rsidRPr="00000000" w:rsidDel="00000000">
              <w:rPr>
                <w:rtl w:val="0"/>
              </w:rPr>
              <w:t xml:space="preserve"> Piešķirto finansējumu šajos noteikumos var apvienot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saskaņā ar šiem noteikumiem piešķirtais finansējums kopā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nepārsniedz maksimāli pieļaujamo šajos noteikumos noteikto reģionālā finansējuma intensitāti atbilstoši Latvijas Republikas statistiskajiem reģioniem (NUTS 3) un maksimālā publiskā finansējuma apmēru vai maksimālo robežvērtību, kas noteikta citā valsts atbalsta programmā, individuālā atbalsta projektā vai Eiropas Komisijas lēmumā: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VARAM 05.04.2023. vēstulei Nr.4-5/1988, kas adresēta arī Zemkopības ministrijai, precizēt MK noteikumu 43.</w:t>
            </w:r>
            <w:r w:rsidR="00000000" w:rsidRPr="00000000" w:rsidDel="00000000">
              <w:rPr>
                <w:vertAlign w:val="superscript"/>
                <w:rtl w:val="0"/>
              </w:rPr>
              <w:t xml:space="preserve">8 </w:t>
            </w:r>
            <w:r w:rsidR="00000000" w:rsidRPr="00000000" w:rsidDel="00000000">
              <w:rPr>
                <w:rtl w:val="0"/>
              </w:rPr>
              <w:t xml:space="preserve">punktu un tā apakšpunktus, precīzi norādot, kuri statistiskie reģioni var un kuri nevar gūt labumu no paaugstinātajām atbalsta intensitātēm. Vēršam uzmanību, ka saskaņā ar EK Reģionālā valsts atbalsta pamatnostādņu 30. zemsvītras piezīmi šajās pamatnostādnēs izmantotie dati balstās uz regulas Nr. 1059/2003 (ar grozījumiem, kas izdarīti ar Komisijas Deleģēto regulu (ES) 2019/1755), 2021. gada nomenklatūru. Līdz ar to dalībvalstis, t.sk., Latvija, savas reģionālā atbalsta kartes laikposmam no 2022. gada līdz 2027. gadam izstrādāja, pamatojoties uz NUTS un statistiku, kas bija pieejama dalībvalstu reģionālā atbalsta karšu pieņemšanas brīdī, t.i. 2021. gada nomenklatūru. Attiecīgi iepriekšminētās NUTS reģionu robežas un ar tiem saistītās atbalsta intensitātes paliks spēkā visu reģionālā atbalsta karšu darbības laiku, neatkarīgi no jebkādām administratīvajām izmaiņām, kas var notikt NUTS vai pašvaldību līmenī. Attiecīgi NUTS reģionu robežas un no tā izrietošās reģionālā atbalsta intensitātes, kādas tās bija dalībvalsts reģionālā atbalsta kartes apstiprināšanas brīdī, būs spēkā līdz 2027. gada 31. decembrim un, piešķirot atbalstu, ir jāņem vērā statistiskais reģions, kas bija pieejams dalībvalstu reģionālā atbalsta karšu pieņemšanas brīdī, t.i. 2021. gada  nomenklatūras 3. līmeņa (NUTS 3. līmenis) klasifikācija. Lūdzam ar atbilstošu informāciju papildināt arī anotāciju, kā arī ietvert informāciju, ka Ministru kabineta 2021. gada 2. novembra noteikumu Nr. 729 “Noteikumi par reģionālās attīstības atbalstu Latvijas Republikā līdz 2027. gadam” 5. un 6. punktā paredzētās iespējas netiek piemērotas Limbažu novadam, Ogres novadam, Saulkrastu novadam un Tukuma novadam.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tika precizēts noteikumu 43.</w:t>
            </w:r>
            <w:r w:rsidR="00000000" w:rsidRPr="00000000" w:rsidDel="00000000">
              <w:rPr>
                <w:vertAlign w:val="superscript"/>
                <w:rtl w:val="0"/>
              </w:rPr>
              <w:t xml:space="preserve">8</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8</w:t>
            </w:r>
            <w:r w:rsidR="00000000" w:rsidRPr="00000000" w:rsidDel="00000000">
              <w:rPr>
                <w:rtl w:val="0"/>
              </w:rPr>
              <w:t xml:space="preserve"> Piešķirto finansējumu šajos noteikumos var apvienot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saskaņā ar šiem noteikumiem piešķirtais finansējums kopā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nepārsniedz maksimāli pieļaujamo šajos noteikumos noteikto reģionālā finansējuma intensitāti atbilstoši Latvijas Republikas statistiskajiem reģioniem (NUTS 3 saskaņā ar 2021.gada klasifikāciju) un maksimālā publiskā finansējuma apmēru vai maksimālo robežvērtību, kas noteikta citā valsts atbalsta programmā, individuālā atbalsta projektā vai Eiropas Komisijas lēmumā: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8</w:t>
            </w:r>
            <w:r w:rsidR="00000000" w:rsidRPr="00000000" w:rsidDel="00000000">
              <w:rPr>
                <w:rtl w:val="0"/>
              </w:rPr>
              <w:t xml:space="preserve"> Piešķirto finansējumu šajos noteikumos var apvienot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saskaņā ar šiem noteikumiem piešķirtais finansējums kopā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nepārsniedz maksimāli pieļaujamo šajos noteikumos noteikto reģionālā finansējuma intensitāti atbilstoši Latvijas Republikas statistiskajiem reģioniem (NUTS 3) un maksimālā publiskā finansējuma apmēru vai maksimālo robežvērtību, kas noteikta citā valsts atbalsta programmā, individuālā atbalsta projektā vai Eiropas Komisijas lēmumā: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izziņas 2.punktā ietverto Finanšu ministrijas izteikto iebildumu, lūdzam nepārprotami norādīt, ka, nosakot atbalsta intensitātes, tiks ņemti vērā statistiskie reģioni, kas bija spēkā dalībvalstu reģionālā atbalsta karšu pieņemšanas brīdī, t.i. 2021.gada nomenklatūras 3.līmeņa (NUTS 3. līmenis) klasifikācija. Lūdzam ņemt vērā, ka normas nepārprotamai skaidrībai noteikumu projektā ir jāietver atsevišķas maksimālās intensitātes sīkajam (mikro), mazajam, vidējam un lielajam uzņēmumam Kurzemes, Zemgales, Latgales un Vidzemes 2021.gada NUTS 3 reģionā, kā arī atbalsta intensitātes, kas būtu piemērojamas administratīvajām vienībām Limbažu novadā, Ogres novadā, Saulkrastu novadā un Tukuma novadā, līdz ar to piedāvājam izteikt noteikumu projekta 43.</w:t>
            </w:r>
            <w:r w:rsidR="00000000" w:rsidRPr="00000000" w:rsidDel="00000000">
              <w:rPr>
                <w:vertAlign w:val="superscript"/>
                <w:rtl w:val="0"/>
              </w:rPr>
              <w:t xml:space="preserve">8</w:t>
            </w:r>
            <w:r w:rsidR="00000000" w:rsidRPr="00000000" w:rsidDel="00000000">
              <w:rPr>
                <w:rtl w:val="0"/>
              </w:rPr>
              <w:t xml:space="preserve"> punktu un tā apakšpunktus pēc līdzības, kā tas ir ietverts Grozījumos Ministru kabineta 2021. gada 6. jūlija noteikumos Nr. 503 "Noteikumi par aizdevumiem ar kapitāla atlaidi investīciju projektiem komersantiem konkurētspējas veicināšanai" (skat. 23-TA-266), pielāgojot zemāk minēto redakciju Ministru kabineta 2021. gada 30. novembra noteikumu Nr. 776 "Valsts un Eiropas Savienības atbalsta piešķiršanas kārtība atklātu projektu konkursa veidā pasākumā "Ieguldījumi materiālajos aktīvos" 2014.–2020. gada plānošanas perioda pārejas laikā 2021. un 2022. gadā" atbalsta programmas gadījumam: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"13.</w:t>
            </w:r>
            <w:r w:rsidR="00000000" w:rsidRPr="00000000" w:rsidDel="00000000">
              <w:rPr>
                <w:i w:val="1"/>
                <w:vertAlign w:val="superscript"/>
                <w:rtl w:val="0"/>
              </w:rPr>
              <w:t xml:space="preserve">1</w:t>
            </w:r>
            <w:r w:rsidR="00000000" w:rsidRPr="00000000" w:rsidDel="00000000">
              <w:rPr>
                <w:i w:val="1"/>
                <w:rtl w:val="0"/>
              </w:rPr>
              <w:t xml:space="preserve">6.atbalsta intensitāte aizdevumu programmas ietvaros no investīciju projekta attiecināmām izmaksām ir:</w:t>
            </w:r>
            <w:r w:rsidR="00000000" w:rsidRPr="00000000" w:rsidDel="00000000">
              <w:rPr>
                <w:i w:val="1"/>
                <w:rtl w:val="0"/>
              </w:rPr>
              <w:t xml:space="preserve">13.</w:t>
            </w:r>
            <w:r w:rsidR="00000000" w:rsidRPr="00000000" w:rsidDel="00000000">
              <w:rPr>
                <w:i w:val="1"/>
                <w:vertAlign w:val="superscript"/>
                <w:rtl w:val="0"/>
              </w:rPr>
              <w:t xml:space="preserve">1</w:t>
            </w:r>
            <w:r w:rsidR="00000000" w:rsidRPr="00000000" w:rsidDel="00000000">
              <w:rPr>
                <w:i w:val="1"/>
                <w:rtl w:val="0"/>
              </w:rPr>
              <w:t xml:space="preserve">6.1.Rīgā kopējās statistiski teritoriālo vienību klasifikācijas 3. līmeņa (turpmāk – 2021. gada NUTS 3 dati) reģionā – 30 % lielajiem komersantiem vai 40 % vidējiem komersantiem;</w:t>
            </w:r>
            <w:r w:rsidR="00000000" w:rsidRPr="00000000" w:rsidDel="00000000">
              <w:rPr>
                <w:i w:val="1"/>
                <w:rtl w:val="0"/>
              </w:rPr>
              <w:t xml:space="preserve">13.</w:t>
            </w:r>
            <w:r w:rsidR="00000000" w:rsidRPr="00000000" w:rsidDel="00000000">
              <w:rPr>
                <w:i w:val="1"/>
                <w:vertAlign w:val="superscript"/>
                <w:rtl w:val="0"/>
              </w:rPr>
              <w:t xml:space="preserve">1</w:t>
            </w:r>
            <w:r w:rsidR="00000000" w:rsidRPr="00000000" w:rsidDel="00000000">
              <w:rPr>
                <w:i w:val="1"/>
                <w:rtl w:val="0"/>
              </w:rPr>
              <w:t xml:space="preserve">6.2.Kurzemes, Zemgales, Vidzemes un Latgales 2021. gada NUTS 3 datu reģionā – 40 % lielajiem komersantiem vai 50 % vidējiem komersantiem;</w:t>
            </w:r>
            <w:r w:rsidR="00000000" w:rsidRPr="00000000" w:rsidDel="00000000">
              <w:rPr>
                <w:i w:val="1"/>
                <w:rtl w:val="0"/>
              </w:rPr>
              <w:t xml:space="preserve">13.</w:t>
            </w:r>
            <w:r w:rsidR="00000000" w:rsidRPr="00000000" w:rsidDel="00000000">
              <w:rPr>
                <w:i w:val="1"/>
                <w:vertAlign w:val="superscript"/>
                <w:rtl w:val="0"/>
              </w:rPr>
              <w:t xml:space="preserve">1</w:t>
            </w:r>
            <w:r w:rsidR="00000000" w:rsidRPr="00000000" w:rsidDel="00000000">
              <w:rPr>
                <w:i w:val="1"/>
                <w:rtl w:val="0"/>
              </w:rPr>
              <w:t xml:space="preserve">6.3.Administratīvām vienībām Limbažu novadā, Ogres novadā, Saulkrastu novadā un Tukuma novadā piemēro 30% lielajiem komersantiem vai 40% vidējiem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šī brīža noteikumu projekta 43.</w:t>
            </w:r>
            <w:r w:rsidR="00000000" w:rsidRPr="00000000" w:rsidDel="00000000">
              <w:rPr>
                <w:vertAlign w:val="superscript"/>
                <w:rtl w:val="0"/>
              </w:rPr>
              <w:t xml:space="preserve">8 </w:t>
            </w:r>
            <w:r w:rsidR="00000000" w:rsidRPr="00000000" w:rsidDel="00000000">
              <w:rPr>
                <w:rtl w:val="0"/>
              </w:rPr>
              <w:t xml:space="preserve">punkta redakcija izslēdz no atbalsta saņēmēju loka visus atbalsta saņēmējus, kas atrodas Pierīgas reģionā. Lūdzam pārskatīt un pārliecināties, vai Pierīgas reģiona atbalsta saņēmēju izslēgšana no atbalsta saņēmēju loka ir Zemkopības ministrijas mērķis un, pēc nepieciešamības, precizēt 43.</w:t>
            </w:r>
            <w:r w:rsidR="00000000" w:rsidRPr="00000000" w:rsidDel="00000000">
              <w:rPr>
                <w:vertAlign w:val="superscript"/>
                <w:rtl w:val="0"/>
              </w:rPr>
              <w:t xml:space="preserve">8 </w:t>
            </w:r>
            <w:r w:rsidR="00000000" w:rsidRPr="00000000" w:rsidDel="00000000">
              <w:rPr>
                <w:rtl w:val="0"/>
              </w:rPr>
              <w:t xml:space="preserve">punkta apakšpunktu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8</w:t>
            </w:r>
            <w:r w:rsidR="00000000" w:rsidRPr="00000000" w:rsidDel="00000000">
              <w:rPr>
                <w:rtl w:val="0"/>
              </w:rPr>
              <w:t xml:space="preserve"> Piešķirto finansējumu šajos noteikumos var apvienot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saskaņā ar šiem noteikumiem piešķirtais finansējums kopā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nepārsniedz maksimāli pieļaujamo šajos noteikumos noteikto reģionālā finansējuma intensitāti atbilstoši Latvijas Republikas statistiskajiem reģioniem (NUTS 3 saskaņā ar 2021.gada klasifikāciju) un maksimālā publiskā finansējuma apmēru vai maksimālo robežvērtību, kas noteikta citā valsts atbalsta programmā, individuālā atbalsta projektā vai Eiropas Komisijas lēmumā: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šo noteikumu </w:t>
            </w:r>
            <w:r w:rsidR="00000000" w:rsidRPr="00000000" w:rsidDel="00000000">
              <w:rPr>
                <w:rtl w:val="0"/>
              </w:rPr>
              <w:t xml:space="preserve">1.1.</w:t>
            </w:r>
            <w:r w:rsidR="00000000" w:rsidRPr="00000000" w:rsidDel="00000000">
              <w:rPr>
                <w:rtl w:val="0"/>
              </w:rPr>
              <w:t xml:space="preserve"> apakšpunktā minētajā apakšpasākumā maksimālais attiecināmo izmaksu apmērs ir 1 000 000 </w:t>
            </w:r>
            <w:r w:rsidR="00000000" w:rsidRPr="00000000" w:rsidDel="00000000">
              <w:rPr>
                <w:i w:val="1"/>
                <w:rtl w:val="0"/>
              </w:rPr>
              <w:t xml:space="preserve">euro</w:t>
            </w:r>
            <w:r w:rsidR="00000000" w:rsidRPr="00000000" w:rsidDel="00000000">
              <w:rPr>
                <w:rtl w:val="0"/>
              </w:rPr>
              <w:t xml:space="preserve">. Atbalsta pretendentam, kura ieņēmumi no lauksaimnieciskās darbības pārsniedz 50 procentus no kopējiem ieņēmumiem, attiecībā uz būvju būvniecību un pārbūvi minēto summu atbilstoši šo noteikumu </w:t>
            </w:r>
            <w:r w:rsidR="00000000" w:rsidRPr="00000000" w:rsidDel="00000000">
              <w:rPr>
                <w:rtl w:val="0"/>
              </w:rPr>
              <w:t xml:space="preserve">10.</w:t>
            </w:r>
            <w:r w:rsidR="00000000" w:rsidRPr="00000000" w:rsidDel="00000000">
              <w:rPr>
                <w:rtl w:val="0"/>
              </w:rPr>
              <w:t xml:space="preserve"> pielikumam var palielināt par izmaksātās darba algas un ar to saistīto darbaspēka nodokļu un nodevu kopsummu pēdējos divos gados, bet nepārsniedzot 2 000 000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(LAPNA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šīs tiesību normas ieviešanas mērķi (kas tika formulēts tiesību akta iepriekšējās redakcijas anotācijā) – noteikt papildu nosacījumus par iespēju palielināt maksimālās attiecināmo izmaksu summas projektos, kuru īstenošana var prasīt lielākos ieguldījumus, tiesību akta 52.1.punktu nepieciešams papildināt ar precizējumu, ka izmaksātās darba algas un ar to saistīto darbaspēka nodokļu un nodevu kopsummā ietilpst ne tikai minētās summas, ko izmaksājis pats atbalsta saņēmējs paša nodarbinātajiem darbiniekiem, bet arī šīs izmaksātās summas uzņēmumu koncerna ietvaros, kurā ietilpst atbalsta saņēmējs.  Nepieciešamību pēc šāda precizējuma izriet no tā, ka tiesību normā jāparedz skaidrs priekšraksts situācijām, kad atbalsta saņēmējs darbojas uzņēmumu koncerna ietvaros, kur atbalsta saņēmēja atbalstāmā darbība tiek nodrošināta ar citu koncerna uzņēmumu palīdzību (tajā skaitā, izmantojot šo citu uzņēmumu darbinieku darbu). Šis precizējums ļauj taisnīgi un pamatoti attiecināt nosacījumu par iespēju palielināt maksimālās attiecināmo izmaksu summas tādiem atbalsta saņēmējiem, kuru darbība tiek nodrošināta ar cita, koncernā ietilpstošā uzņēmuma darbinieku darbu, un kuru darba algu šāds atbalsta saņēmējs faktiski netieši apmaksā, norēķinoties ar šo saistīto uzņēmumu. Pie tam, atzīmējams, ka norma precizētajā redakcijā neļautu attiecināt šādu nosacījumu uz jebkuru saistīto uzņēmumu, jo satur nosacījumu, ka citu subjektu izmaksātajai darba algai un ar to saistītajiem nodokļiem un nodevām jābūt tieši un vienīgi saistītiem ar konkrēta atbalsta pretendenta lauksaimnieciskās darbību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šī brīža normas redakcija nekonkretizē darba algas un ar to saistīto darbaspēka nodokļu un nodevu kopsummas izmaksātājsubjektu, šādi pieļaujot jau tagad interpretācijas ceļā attiecināt to arī uz uzņēmumu koncerna gadījumiem, taču tas vienlaicīgi rada nedrošības, nestabilitātes risku šīs normas piemērošanā. Lai šādu risku izslēgtu, ir veicams minētais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 Atbalsta pretendentam, kura ieņēmumi no lauksaimnieciskās darbības pārsniedz 50 procentus no kopējiem ieņēmumiem, attiecībā uz būvju būvniecību un pārbūvi minēto summu atbilstoši šo noteikumu 10. pielikumam var palielināt par izmaksātās darba algas un ar to saistīto darbaspēka nodokļu un nodevu kopsummu pēdējos divos gados, </w:t>
            </w:r>
            <w:r w:rsidR="00000000" w:rsidRPr="00000000" w:rsidDel="00000000">
              <w:rPr>
                <w:b w:val="1"/>
                <w:rtl w:val="0"/>
              </w:rPr>
              <w:t xml:space="preserve">tajā skaitā uzņēmumu koncerna, kurā ietilpst atbalsta pretendents, ietvaros izmaksāto darba algu un ar to saistītos darbaspēka nodokļus un nodevas tiktāl, ciktāl tie tieši un nedalīti saistīti ar atbalsta pretendenta lauksaimnieciskās darbības nodrošināšanu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šo noteikumu </w:t>
            </w:r>
            <w:r w:rsidR="00000000" w:rsidRPr="00000000" w:rsidDel="00000000">
              <w:rPr>
                <w:rtl w:val="0"/>
              </w:rPr>
              <w:t xml:space="preserve">1.1.</w:t>
            </w:r>
            <w:r w:rsidR="00000000" w:rsidRPr="00000000" w:rsidDel="00000000">
              <w:rPr>
                <w:rtl w:val="0"/>
              </w:rPr>
              <w:t xml:space="preserve"> apakšpunktā minētajā apakšpasākumā maksimālais attiecināmo izmaksu apmērs ir 1 000 000 </w:t>
            </w:r>
            <w:r w:rsidR="00000000" w:rsidRPr="00000000" w:rsidDel="00000000">
              <w:rPr>
                <w:i w:val="1"/>
                <w:rtl w:val="0"/>
              </w:rPr>
              <w:t xml:space="preserve">euro</w:t>
            </w:r>
            <w:r w:rsidR="00000000" w:rsidRPr="00000000" w:rsidDel="00000000">
              <w:rPr>
                <w:rtl w:val="0"/>
              </w:rPr>
              <w:t xml:space="preserve">. Atbalsta pretendentam, kura ieņēmumi no lauksaimnieciskās darbības pārsniedz 50 procentus no kopējiem ieņēmumiem, attiecībā uz būvju būvniecību un pārbūvi minēto summu atbilstoši šo noteikumu </w:t>
            </w:r>
            <w:r w:rsidR="00000000" w:rsidRPr="00000000" w:rsidDel="00000000">
              <w:rPr>
                <w:rtl w:val="0"/>
              </w:rPr>
              <w:t xml:space="preserve">10.</w:t>
            </w:r>
            <w:r w:rsidR="00000000" w:rsidRPr="00000000" w:rsidDel="00000000">
              <w:rPr>
                <w:rtl w:val="0"/>
              </w:rPr>
              <w:t xml:space="preserve"> pielikumam var palielināt par izmaksātās darba algas un ar to saistīto darbaspēka nodokļu un nodevu kopsummu pēdējos divos gados, bet nepārsniedzot 2 000 000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pārmaiņu mazināšanas un pielāgošanās, kā arī vides aizsardzības ieguldījumi 4.1. "Atbalsts ieguldījumiem lauku saimniecībās"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(LAPNA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4. punkts, sadaļa lopkopība: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Emisiju mazinošās lopkopības novietnes būvniecība vai pārbūve, ietverot emisiju mazinošus elementus (slīpā grīda ar urīna savākšanas renēm ejās, kūtsmēslu krātuve zem novietnes, speciālās redeļu grīdas vai siltinātie jumti, kūtsmēslu biežas izvākšanas konveijeru sistēmas mājputnu novietnēs)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Rekuperācijas sistēmas izbūve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Paaugstinātām labturības prasībām piemērotu jaunu novietņu būvniecība vai pārbūve vai novietņu aprīkošana ar uzlabotas labturības (brīvās turēšanas sistēmas) novietnes aprīkojumu mājputnu turēšanai, tostarp ventilācija, gaisa mitrināšana, guļvietu labiekārtošana, nodrošinot liellopu nepiesieto turēšanu, atsevišķu, nodalītu boksu ierīkošanu slimajiem dzīvniekiem, dējējvistu vai to jaunputnu turēšanu brīvajā veidā, samazinātu cūku blīvumu uz aizgaldu platībām, nodrošinot pakaišu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Pastaigu laukumu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Ganību ierīkošana (aploki) pagarinātai vai porcijveida ganīšanai – elektriskie gani, dzirdināšanas un piebarošanas aprīkojums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Skābbarības uzglabāšanas laukumu un tranšeju izbūve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Cietmēslu vai kompostēšanas laukumu izbūve vai pārbūve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attiecīgi tika precizēts noteikumu 35.punkts un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pārmaiņu mazināšanas un pielāgošanās, kā arī vides aizsardzības ieguldījumi 4.1. "Atbalsts ieguldījumiem lauku saimniecībās"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(LAPNA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5.punkts "Pieteiktā projekta mēŗkis": Dējējvistu vai </w:t>
            </w:r>
            <w:r w:rsidR="00000000" w:rsidRPr="00000000" w:rsidDel="00000000">
              <w:rPr>
                <w:b w:val="1"/>
                <w:rtl w:val="0"/>
              </w:rPr>
              <w:t xml:space="preserve">dējvistu jaunputnu </w:t>
            </w:r>
            <w:r w:rsidR="00000000" w:rsidRPr="00000000" w:rsidDel="00000000">
              <w:rPr>
                <w:rtl w:val="0"/>
              </w:rPr>
              <w:t xml:space="preserve">novietņu jaunu mītņu būvēšana vai  aprīkošana ar uzlabotas labturības turēšanas aprīkojumu, vai esošo rekonstrukcija uz brīvo turēšanas veidu (tostarp kūtī)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attiecīgi tika precizēts noteikumu 35.punkts un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23-TA-908</w:t>
    </w:r>
    <w:r>
      <w:br/>
    </w:r>
    <w:r w:rsidR="00000000" w:rsidRPr="00000000" w:rsidDel="00000000">
      <w:rPr>
        <w:rtl w:val="0"/>
      </w:rPr>
      <w:t xml:space="preserve">21.05.2023. 16.27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23-TA-908</w:t>
    </w:r>
    <w:r>
      <w:br/>
    </w:r>
    <w:r w:rsidR="00000000" w:rsidRPr="00000000" w:rsidDel="00000000">
      <w:rPr>
        <w:rtl w:val="0"/>
      </w:rPr>
      <w:t xml:space="preserve">21.05.2023. 16.27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Izziņa_23-TA-908.docx</dc:title>
</cp:coreProperties>
</file>

<file path=docProps/custom.xml><?xml version="1.0" encoding="utf-8"?>
<Properties xmlns="http://schemas.openxmlformats.org/officeDocument/2006/custom-properties" xmlns:vt="http://schemas.openxmlformats.org/officeDocument/2006/docPropsVTypes"/>
</file>