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5.sadaļu ar  noteikumu projekta 18.punkta izvērtējumu pret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informāciju par noteikumu projektā noteiktā finansējuma paredzēšanu skaidrot arī pēc tā būtības (līdzīgi kā tas tika norādīts atbilstoši MK 24.08.2021. sēdes prot. Nr.57 52.§ 32.punktā informatīvajā ziņojumā atbalstītajam priekšlikumam, uz kura pamata finansējums Zemkopības ministrijai 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informāciju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pārskatīt norādīto uzsākto projektu skaitu, kas tiks turpināti 2022.gadā, un jauno projektu skaitu, lai tas atbilstu 7.pielikumā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pārskatīts un precizēts turpināmo un uzsākto projektu skaits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arī paredzētā finansējuma sadalījumu pa pasākumiem, ņemot vērā noteikumu projekta 2.punktā noteikto, kas paredz izteikt noteikumu 3.punktu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paredzētā finansējuma sadalījums pa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1.1. un 2.1.apakšpunktā sniegto informāciju par noteikumu projekta īstenošanai Zemkopības ministrijai pieejamo finansējumu 2022. gadā, ņemot vērā anotācijas 3.sadaļas 6.punktā sniegto informāciju, ka paredzētā atbalsta kopējais finansējums 2022. gadam ir 11 500 000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1.1. un 2.1.apakšpunktā paredzēts atbalsta kopējais finansējums 2022. gadam ir 11 500 000</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daļējai kredītprocentu dzēšanai primāro lauksaimniecības produktu ražotājiem, kooperatīvajām sabiedrībām, kurām piešķirts atbilstības statuss saskaņā ar normatīvajiem aktiem par kooperatīvo sabiedrību atbilstību lauksaimniecības un mežsaimniecības nozarē, lauksaimniecības produktu pārstrādes komersantiem, kā arī zvejniecībā un zvejas produktu apstrādē;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izvērstu pamatojumu projektā ietvertajiem noteikumu grozījumiem saistībā ar kooperatīvajām sabiedrībām saskaņā ar Ministru kabineta 2021. gada 7. septembra noteikumu Nr. 617 "Tiesību akta projekta sākotnējās ietekmes izvērtēšanas kārtība" 9.1. apakšpunktu. Uzsveram, ka šajā un saistītajās projekta normās ietvertajam regulējumam projekta anotācijā trūkst skaidrojuma  par regulējuma izstrādes nepieciešamības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informāciju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daļējai kredītprocentu dzēšanai primāro lauksaimniecības produktu ražotājiem, kooperatīvajām sabiedrībām, kurām piešķirts atbilstības statuss saskaņā ar normatīvajiem aktiem par kooperatīvo sabiedrību atbilstību lauksaimniecības un mežsaimniecības nozarē, lauksaimniecības produktu pārstrādes komersantiem, kā arī zvejniecībā un zvejas produktu apstrādē;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Šajos noteikumos paredzētā atbalsta kopējais finansējums 2022. gadam ir 11 500 000 </w:t>
            </w:r>
            <w:r w:rsidR="00000000" w:rsidRPr="00000000" w:rsidDel="00000000">
              <w:rPr>
                <w:i w:val="1"/>
                <w:rtl w:val="0"/>
              </w:rPr>
              <w:t xml:space="preserve">euro</w:t>
            </w:r>
            <w:r w:rsidR="00000000" w:rsidRPr="00000000" w:rsidDel="00000000">
              <w:rPr>
                <w:rtl w:val="0"/>
              </w:rPr>
              <w:t xml:space="preserve">, un no tiem 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2.punktā, kas paredz izteikt noteikumu 3.punktu jaunā redakcijā, pārskatīt un precizēt finansējuma sadalījumu pa atbalsta veidiem, ņemot vērā anotācijas 3.sadaļā norādīto Zemkopības ministrijas pieejamo finansējumu noteikumu projektu īstenošanai, kā arī to, ka šobrīd sadalījumā pa atbalsta veidiem tas neveido 11 500 000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finansējuma sadalījums.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Šajos noteikumos paredzētā atbalsta kopējais finansējums 2022. gadam ir 11 500 000 </w:t>
            </w:r>
            <w:r w:rsidR="00000000" w:rsidRPr="00000000" w:rsidDel="00000000">
              <w:rPr>
                <w:i w:val="1"/>
                <w:rtl w:val="0"/>
              </w:rPr>
              <w:t xml:space="preserve">euro</w:t>
            </w:r>
            <w:r w:rsidR="00000000" w:rsidRPr="00000000" w:rsidDel="00000000">
              <w:rPr>
                <w:rtl w:val="0"/>
              </w:rPr>
              <w:t xml:space="preserve">, un no tiem piešķir: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3.1.1. 3 600 000 </w:t>
            </w:r>
            <w:r w:rsidR="00000000" w:rsidRPr="00000000" w:rsidDel="00000000">
              <w:rPr>
                <w:i w:val="1"/>
                <w:rtl w:val="0"/>
              </w:rPr>
              <w:t xml:space="preserve">euro </w:t>
            </w:r>
            <w:r w:rsidR="00000000" w:rsidRPr="00000000" w:rsidDel="00000000">
              <w:rPr>
                <w:rtl w:val="0"/>
              </w:rPr>
              <w:t xml:space="preserve">investīciju aizdevumiem no Latvijas Lauku attīstības programmas 2014.–2020.gadam īstenošanas pārejas periodā 2021. un 2022. gadā apakšpasākumā “Atbalsts ieguldījumiem lauku saimniecībās", izņemot aizdevumiem par dzīvnieku un zemes iegādi.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vai regulējuma attiecināšana uz 2021. gada pārejas periodu vēl ir nepieciešama, ņemot vērā, ka attiecīgais pārejas periods jau ir pagājis. Attiecīgi lūdzam precizēt projektu vai sniegt skaidrojumu par regulējuma nepieciešamību. Minētais attiecas arī uz līdzīgu regulējumu citviet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Lauku attīstības programmas 2014.–2020.gadam īstenošanas pārejas periods 2021. un 2022. gadam ir Latvijas Lauku attīstības programmas 2014.–2020.gadam pagarinājuma nosaukums, kur finansējuma izlietojums paredzēts no 2021.gada līdz 2025.gada 31.decembrim (finansējuma izlietojuma periods n+3). Atbalstu nav plānots attiecināt uz 2021.gadu.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3.1.1. 4 000 000 </w:t>
            </w:r>
            <w:r w:rsidR="00000000" w:rsidRPr="00000000" w:rsidDel="00000000">
              <w:rPr>
                <w:i w:val="1"/>
                <w:rtl w:val="0"/>
              </w:rPr>
              <w:t xml:space="preserve">euro </w:t>
            </w:r>
            <w:r w:rsidR="00000000" w:rsidRPr="00000000" w:rsidDel="00000000">
              <w:rPr>
                <w:rtl w:val="0"/>
              </w:rPr>
              <w:t xml:space="preserve">investīciju aizdevumiem no Latvijas Lauku attīstības programmas 2014.–2020.gadam īstenošanas pārejas periodā 2021. un 2022. gadā apakšpasākumā “Atbalsts ieguldījumiem lauku saimniecībās", izņemot aizdevumiem par dzīvnieku un zemes iegādi.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atbalsta pretendentam ar tiesas spriedumu ir pasludināts maksātnespējas process vai ar tiesas spriedumu tiek īstenots tiesiskās aizsardzības process, vai ar tiesas lēmumu tiek īstenots ārpustiesas tiesiskās aizsardzības process, vai ir uzsākta bankrota procedūra, piemērota sanācija vai mierizlīgums, vai tā saimnieciskā darbība ir izbeigta, vai tas atbilst normatīvajos aktos noteiktiem kritērijiem, lai tam pēc kreditora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2021.gada 6.aprīļa vēstuli Nr. 7-4/18/1868 par Komisijas regulas Nr.651/2014 2.panta 18.punkta c) apakšpunkta piemērošanu, [kas attiecināms arī uz Komisijas 2013.gada 18.decembra Regulas (ES) Nr.1407/2013 par Līguma par Eiropas Savienības darbību 107. un 108.panta piemērošanu de minimis atbalstam, 4.panta 3 a) apakšpunktā noteikto], lūdzam papildināt Ministru kabineta noteikumus Nr.59, iekļaujot normu, ka Ministru kabineta noteikumu Nr.59 8.3.punktā ietvertajā piebildē nosacījums “vai tas atbilst normatīvajos aktos noteiktajiem kritērijiem, lai tam pēc kreditoru pieprasījuma pieprasītu maksātnespējas procedūru” tiek pārbaudīts, balstoties uz atbalsta pretendenta iesniegtu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atbalsta pretendentam ar tiesas spriedumu ir pasludināts maksātnespējas process vai ar tiesas spriedumu tiek īstenots tiesiskās aizsardzības process, vai ar tiesas lēmumu tiek īstenots ārpustiesas tiesiskās aizsardzības process, vai ir uzsākta bankrota procedūra, piemērota sanācija vai mierizlīgums, vai tā saimnieciskā darbība ir izbeigta, vai tas atbilst normatīvajos aktos noteiktiem kritērijiem, lai tam pēc kreditora pieprasījuma piemērotu maksātnespējas procedūru. Attiecīgo nosacījumu pārbauda, balstoties uz atbalsta pretendenta iesniegtu apliecinājumu;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datus par izmaksāto atbalstu glabā 10 gadus no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ņemot vērā, ka atbalsta sniedzējs glabā visus ar de minimis saistītos datus 10 gadus no dienas, kad saskaņā ar šiem noteikumiem piešķirts </w:t>
            </w:r>
            <w:r w:rsidR="00000000" w:rsidRPr="00000000" w:rsidDel="00000000">
              <w:rPr>
                <w:u w:val="single"/>
                <w:rtl w:val="0"/>
              </w:rPr>
              <w:t xml:space="preserve">pēdējais</w:t>
            </w:r>
            <w:r w:rsidR="00000000" w:rsidRPr="00000000" w:rsidDel="00000000">
              <w:rPr>
                <w:rtl w:val="0"/>
              </w:rPr>
              <w:t xml:space="preserve"> de minimis atbalsts atbilstoši regulas Nr.1407/2013 6. panta 4.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datus par izmaksāto atbalstu glabā 10 gadus sākot no dienas, kad ir piešķirts pēdējais atbalsts šajos noteikumos minētajiem atbalsta pasākumiem, ievērojot regulas Nr. 702/2014 13.panta, Nr. 1407/2013 6. panta 4.punkta, Nr. 1408/2013 6. panta 4.punkta un Nr. 717/2014 6. panta 4. punkta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kooperatīvajām sabiedrībām, kurām piešķirts atbilstības statuss saskaņā ar normatīvajiem aktiem par kooperatīvo sabiedrību atbilstību lauksaimniecības nozarē (turpmāk – kooperatīvā sabiedrība) un mežsaimniecības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projektā izteiktā noteikumu 23. punkta ievaddaļa daļēji dublē noteikumu 22. punktu. Uzsveram, ka saskaņā ar  Ministru kabineta 2009. gada 3. februāra noteikumu Nr.108 "Normatīvo aktu projektu sagatavošanas noteikumi" (turpmāk - MKN. 108) 3.3. apakšpunktu  normatīvā akta projektā neietver normas, kas dublē pašā normatīvā akta projektā ietverto normatīvo regulējumu.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lai veicinātu tādu kooperatīvo sabiedrību attīstību, kurām piešķirts atbilstības statuss saskaņā ar normatīvajiem aktiem par kooperatīvo sabiedrību atbilstību lauksaimniecības nozarē (turpmāk – kooperatīvā sabiedrība) un mežsaimniecības nozarē, lai samazinātu ražošanas izmaksas un ieviestu modernas ražošanas tehnoloģijas: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w:t>
            </w:r>
            <w:r w:rsidR="00000000" w:rsidRPr="00000000" w:rsidDel="00000000">
              <w:rPr>
                <w:vertAlign w:val="superscript"/>
                <w:rtl w:val="0"/>
              </w:rPr>
              <w:t xml:space="preserve">1</w:t>
            </w:r>
            <w:r w:rsidR="00000000" w:rsidRPr="00000000" w:rsidDel="00000000">
              <w:rPr>
                <w:rtl w:val="0"/>
              </w:rPr>
              <w:t xml:space="preserve">. Atbalsts digitālās platformas pilnveidei informēšanas pasākumiem par lauksaimniecības produktu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atbalsta veids ar grozījumiem noteikumos vairs netiek sniegts, lūdzam projekta anotācijā sniegt izvērstu skaidrojumu, vai ar attiecīgajiem projekta grozījumiem netiek pārkāpts tiesiskās paļāvības princips. Proti, privātpersonai jārēķinās, ka regulējums varētu mainīties, tomēr arī tādā gadījumā jānodrošina, ka personu tiesības tiek ierobežotas pēc iespējas mazāk un, piemēram, ir izstrādāts pārejas periods attiecībā uz personām, kuras jau paspējušas pieteikties uz atbalstu. Nepieciešamības gadījumā lūdzam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atbilstoši noteikumiem, kur atbalsts tiek piešķirts kārtējā gada ietvaros, tika paredzēts tikai 2021.gadam un atbilstoši noteikumiem netika paredzēts turpināt 2022.gadā. Ņemot vērā, ka  2022.gadā finansējums digitālās platformas pilnveidei informēšanas pasākumiem par lauksaimniecības produktu pieejamību nav paredzēts atbalsta pasākums tiek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w:t>
            </w:r>
            <w:r w:rsidR="00000000" w:rsidRPr="00000000" w:rsidDel="00000000">
              <w:rPr>
                <w:vertAlign w:val="superscript"/>
                <w:rtl w:val="0"/>
              </w:rPr>
              <w:t xml:space="preserve">1</w:t>
            </w:r>
            <w:r w:rsidR="00000000" w:rsidRPr="00000000" w:rsidDel="00000000">
              <w:rPr>
                <w:rtl w:val="0"/>
              </w:rPr>
              <w:t xml:space="preserve">. Atbalsts digitālās platformas pilnveidei informēšanas pasākumiem par lauksaimniecības produktu pieejamību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43.4.</w:t>
            </w:r>
            <w:r w:rsidR="00000000" w:rsidRPr="00000000" w:rsidDel="00000000">
              <w:rPr>
                <w:rtl w:val="0"/>
              </w:rPr>
              <w:t xml:space="preserve"> apakšpunktā minētais atbalsts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grozījumu Ministru kabineta noteikumu Nr.59 7.pielikumā, lūdzam pārskatīt arī Ministru kabineta noteikumu Nr.59 44.punktā noteikto un attiecīgi noteikumu projektā iekļaut grozījumus arī attiecībā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43.4. apakšpunktā minētais atbalsts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lai turpinātu šo noteikumu 7. pielikuma 1., 2., 3., 4., 5., 6., 7., 8., 9., 10., 11., 12., 13., 14., 15., 16., 17. un 18. punktā minētos pārejošos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lai uzsāktu šo noteikumu 7. pielikuma 19., 20., 21., 22., 23., 24., 25. un 26. punktā minētos pētījumus.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ir augstskolas aģentūra, kas īsteno vidējās profesionālās izglītības programmu dārzkopības, augkopības tehniķa un lopkopības tehniķa profesijas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regulējumu norādām, ka Latvijas normatīvajos aktos pirmšķietami nav atrodams vārdu savienojums "augstskolas aģentūra". Attiecīgi lūdzam regulējumu izstrādāt viennozīmīgi skaidri, lietojot juridiski korektus vārdu savienojumus.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ir atvasinātas publiskas personas aģentūra, kas īsteno vidējās profesionālās izglītības programmu dārzkopības, lopkopības un augkopības tehniķa profesijas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Lauku atbalsta dienests vērtē pretendenta atbilstību šo noteikumu </w:t>
            </w:r>
            <w:r w:rsidR="00000000" w:rsidRPr="00000000" w:rsidDel="00000000">
              <w:rPr>
                <w:rtl w:val="0"/>
              </w:rPr>
              <w:t xml:space="preserve">41.</w:t>
            </w:r>
            <w:r w:rsidR="00000000" w:rsidRPr="00000000" w:rsidDel="00000000">
              <w:rPr>
                <w:vertAlign w:val="superscript"/>
                <w:rtl w:val="0"/>
              </w:rPr>
              <w:t xml:space="preserve">3</w:t>
            </w:r>
            <w:r w:rsidR="00000000" w:rsidRPr="00000000" w:rsidDel="00000000">
              <w:rPr>
                <w:rtl w:val="0"/>
              </w:rPr>
              <w:t xml:space="preserve"> punkta, kā arī regulas Nr. </w:t>
            </w:r>
            <w:r w:rsidR="00000000" w:rsidRPr="00000000" w:rsidDel="00000000">
              <w:rPr>
                <w:rtl w:val="0"/>
              </w:rPr>
              <w:t xml:space="preserve">702/2014</w:t>
            </w:r>
            <w:r w:rsidR="00000000" w:rsidRPr="00000000" w:rsidDel="00000000">
              <w:rPr>
                <w:rtl w:val="0"/>
              </w:rPr>
              <w:t xml:space="preserve"> 1. panta 6. punkta "c" apakšpunkta un 2. panta 14.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šis regulējums ietverts noteikumu sadaļā "noslēguma jautājumi", pēc būtības tas nav uzskatāmas par noslēguma jautājumu saskaņā ar MKN. 108 115. punktu, kas cita starpā noteic, ka "noslēguma jautājumos nosaka pārejas kārtību no pastāvošā tiesiskā regulējuma uz jauno tiesisko regulējumu. Noslēguma jautājumos neietver normas, kas darbojas pastāvīgi". Attiecīgi lūdzam attiecīgo regulējumu ietvert citviet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Svītrots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izmantojamie zinātnes pētījumi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lietderību Ministru kabineta noteikumu Nr.59 7.pielikumā paredzēt valsts budžeta līdzekļu piešķiršanu pētījumam “Pievienotās vērtības nodokļa samazinātās likmes 5% apmērā ieviešana olām, svaigai gaļai, piena pamatproduktiem un svaigām zivīm  un tās efektivitātes vērtējums”, ņemot vērā līdzšinējās diskusijas saistībā ar šo jautājumu un Finanšu ministrijas atzinumu par Zemkopības ministrijas informatīvo ziņojumu “Par pievienotās vērtības nodokļa likmes diferencēšanu pārtikai”.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informāciju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izmantojamie zinātnes pētījumi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ir pārkāptas Komisijas regulas Nr. 1407/2013, Komisijas 2013. gada 18. decembra Regulas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 vai Komisijas 2014. gada 27. jūnija Regulas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L190) (turpmāk – Komisijas regula Nr. 717/2014) prasības, atbalsta saņēmējam ir pienākums atmaksāt Lauku atbalsta dienestam saņemto valsts atbalstu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 no dienas, kad valsts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ne tikai tad, ja atbalsta sniedzējs konstatē pārkāpumus, kas noved pie nelikumīga atbalsta atgūšanas, bet arī gadījumos, kad citas institūcijas konstatē nelikumīga atbalsta piešķiršanas gadījumus (tai skaitā, Eiropas Komisija), lūdzam Ministru kabineta noteikumu Nr.59 7</w:t>
            </w:r>
            <w:r w:rsidR="00000000" w:rsidRPr="00000000" w:rsidDel="00000000">
              <w:rPr>
                <w:vertAlign w:val="superscript"/>
                <w:rtl w:val="0"/>
              </w:rPr>
              <w:t xml:space="preserve">2</w:t>
            </w:r>
            <w:r w:rsidR="00000000" w:rsidRPr="00000000" w:rsidDel="00000000">
              <w:rPr>
                <w:rtl w:val="0"/>
              </w:rPr>
              <w:t xml:space="preserve">.punktu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1407/2013 nosacījumi, [finansējuma saņēmējam] ir pienākums atmaksāt [Lauku atbalsta dienestam] visu saņemto valsts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pārkāptas Komisijas 2014. gada 25. jūnija Regulas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regula Nr. 702/2014) vai Eiropas Komisijas lēmumā par valsts atbalsta saderību ar Eiropas Savienības iekšējo tirgu prasības, Lauku atbalsta dienests, uzliek par pienākumu atbalsta saņēmējam atmaksāt Lauku atbalsta dienestam saņemto nelikumīgo valsts atbalstu. Ja pārkāptas Komisijas regulas Nr.1407/2013,  Komisijas 2013. gada 18. decembra Regulas (EK) Nr.  1408/2013 par Līguma par Eiropas Savienības darbību 107. un 108. panta piemērošanu de minimis atbalstam lauksaimniecības nozarē (Eiropas Savienības Oficiālais Vēstnesis, 2013. gada 24. decembris, Nr. L 352) (turpmāk – Komisijas regula Nr.  1408/2013) vai Komisijas 2014. gada 27. jūnija Regulas (EK) Nr.  717/2014 par Līguma par Eiropas Savienības darbību 107. un 108. panta piemērošanu de minimis atbalstam zvejniecības un akvakultūras nozarē (Eiropas Savienības Oficiālais Vēstnesis, 2014. gada 28. jūnijs, Nr. L190) (turpmāk – Komisijas regula Nr.  717/2014) prasības, Lauku atbalsta dienests atbalsta saņēmējam, uzliek par pienākumu atmaksāt Lauku atbalsta dienestam visu atbalsta pasākuma ietvaros saņemto valsts atbalstu. Atmaksu veic kopā ar procentiem, no līdzekļiem, kas ir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tiek konstatēts, ka atbalsta saņēmējs šo noteikumu ietvaros ir saņēmis nelikumīgu komercdarbības atbalstu, kā arī pārkāpis Komisijas regulas  Nr.  1407/2013, Komisijas 2013. gada 18. decembra Regulas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 vai Komisijas 2014. gada 27. jūnija Regulas (EK) Nr.  717/2014 par Līguma par Eiropas Savienības darbību 107. un 108. panta piemērošanu de minimis atbalstam zvejniecības un akvakultūras nozarē (Eiropas Savienības Oficiālais Vēstnesis, 2014. gada 28. jūnijs, Nr. L190) (turpmāk – Komisijas regula Nr.  717/2014) nosacījumus, tam ir pienākums atmaksāt Lauku atbalsta dienestam visu saņemto nelikumīgo komercdarbības atbalstu kopā ar procentiem no līdzekļiem, kas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Finanšu ministrijas izteikto komentāru, kas izteikts izziņas 17.punktā. Atkārtoti vēršam uzmanību, ka nelikumīgs valsts atbalsts ir atgūstams ne tikai tad, ja atbalsta sniedzējs konstatē pārkāpumus, kas noved pie nelikumīga atbalsta atgūšanas, bet arī gadījumos, kad citas institūcijas konstatē nelikumīga atbalsta piešķiršanas gadījumus, attiecīgi lūdzam 7.</w:t>
            </w:r>
            <w:r w:rsidR="00000000" w:rsidRPr="00000000" w:rsidDel="00000000">
              <w:rPr>
                <w:vertAlign w:val="superscript"/>
                <w:rtl w:val="0"/>
              </w:rPr>
              <w:t xml:space="preserve">2</w:t>
            </w:r>
            <w:r w:rsidR="00000000" w:rsidRPr="00000000" w:rsidDel="00000000">
              <w:rPr>
                <w:rtl w:val="0"/>
              </w:rPr>
              <w:t xml:space="preserve">  punkta ievaddaļā dzēst vārdus :"tiek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Komisijas regulas  Nr.  1407/2013 pārkāpuma gadījumā ir jāatgūst viss projektā/atbalsta pasākumā saskaņā ar  Komisijas regulu  Nr.  1407/2013 piešķirtais de minimis atbalsts, nevis tikai nelikumīgais atbalsts. Skaidrojam, ka šobrīd spēkā esošā ES Tiesu prakse satur de minimis atbalsta piešķiršanas pamatprincipus, proti, de minimis atbalstam jābūt pārredzamam, t.sk., uz piešķiršanas brīdi atbilstošam regulas de minimis nosacījumiem, un to nevar attiecināt uz daļu no piešķirtā atbalsta (skat. 2011.gada 20.septembra Tiesas spriedumu lietās T‑394/08, T‑408/08, T‑453/08 un T‑454/08 un 2020.gada 28.oktobra tiesas spriedumu lietā C‑608/19). Attiecīgi šobrīd nav indikāciju, ka būtu pieļaujams interpretēt daļu piešķirtā de minimis atbalsta kā likumīgu un daļu, kā nelikumīgu, proti, viss piešķirtais atbalsts, kas uz tā piešķiršanas brīdi neatbilda de minimis regulas nosacījumiem ir atgūstams kopā ar procentiem. Vairāk par nelikumīga atbalsta atgūšanu lūdzam skatīt https://www.fm.gov.lv/lv/skaidrojosie-materiali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pielāgot atgūšanas redakciju Komisijas regulas  Nr.  1407/2013 piemērošanas gadījumā, kur kvadrātiekavās ietverto iespējams aizstāt ar konkrētās programmas ietvaros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pārkāpti Komisijas regulas Nr. 1407/2013 nosacījumi, [finansējuma saņēmējam] ir pienākums atmaksāt [atbalsta sniedzējam] </w:t>
            </w:r>
            <w:r w:rsidR="00000000" w:rsidRPr="00000000" w:rsidDel="00000000">
              <w:rPr>
                <w:u w:val="single"/>
                <w:rtl w:val="0"/>
              </w:rPr>
              <w:t xml:space="preserve">visu</w:t>
            </w:r>
            <w:r w:rsidR="00000000" w:rsidRPr="00000000" w:rsidDel="00000000">
              <w:rPr>
                <w:rtl w:val="0"/>
              </w:rPr>
              <w:t xml:space="preserve"> [projekta ietvaros; MKN ietvaros; pasākuma ietvaros]</w:t>
            </w:r>
            <w:r w:rsidR="00000000" w:rsidRPr="00000000" w:rsidDel="00000000">
              <w:rPr>
                <w:u w:val="single"/>
                <w:rtl w:val="0"/>
              </w:rPr>
              <w:t xml:space="preserve">saņemto</w:t>
            </w:r>
            <w:r w:rsidR="00000000" w:rsidRPr="00000000" w:rsidDel="00000000">
              <w:rPr>
                <w:rtl w:val="0"/>
              </w:rPr>
              <w:t xml:space="preserve"> valsts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pārkāptas Komisijas 2014. gada 25. jūnija Regulas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regula Nr. 702/2014) vai Eiropas Komisijas lēmumā par valsts atbalsta saderību ar Eiropas Savienības iekšējo tirgu prasības, Lauku atbalsta dienests, uzliek par pienākumu atbalsta saņēmējam atmaksāt Lauku atbalsta dienestam saņemto nelikumīgo valsts atbalstu. Ja pārkāptas Komisijas regulas Nr.1407/2013,  Komisijas 2013. gada 18. decembra Regulas (EK) Nr.  1408/2013 par Līguma par Eiropas Savienības darbību 107. un 108. panta piemērošanu de minimis atbalstam lauksaimniecības nozarē (Eiropas Savienības Oficiālais Vēstnesis, 2013. gada 24. decembris, Nr. L 352) (turpmāk – Komisijas regula Nr.  1408/2013) vai Komisijas 2014. gada 27. jūnija Regulas (EK) Nr.  717/2014 par Līguma par Eiropas Savienības darbību 107. un 108. panta piemērošanu de minimis atbalstam zvejniecības un akvakultūras nozarē (Eiropas Savienības Oficiālais Vēstnesis, 2014. gada 28. jūnijs, Nr. L190) (turpmāk – Komisijas regula Nr.  717/2014) prasības, Lauku atbalsta dienests atbalsta saņēmējam, uzliek par pienākumu atmaksāt Lauku atbalsta dienestam visu atbalsta pasākuma ietvaros saņemto valsts atbalstu. Atmaksu veic kopā ar procentiem, no līdzekļiem, kas ir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 tas uzskatāms par saistītu uzņēmumu ar šo noteikumu 151.1.1. un 151.1.2. apakšpunktā minētajiem aizdevējiem;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visas projektā ietvertās atsauces uz noteikumu prim vienībām būtu precizējamas, jo tās pašlaik var sajaukt ar atsaucēm uz citām noteikumu vienībām, piemēram, šajā gadījumā atsauce var tikt saprasta ar atsauci uz noteikumu 151. punktu, nevis uz noteikumu 15.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 tas uzskatāms par saistītu uzņēmumu ar šo noteikumu 15</w:t>
            </w:r>
            <w:r w:rsidR="00000000" w:rsidRPr="00000000" w:rsidDel="00000000">
              <w:rPr>
                <w:vertAlign w:val="superscript"/>
                <w:rtl w:val="0"/>
              </w:rPr>
              <w:t xml:space="preserve">1</w:t>
            </w:r>
            <w:r w:rsidR="00000000" w:rsidRPr="00000000" w:rsidDel="00000000">
              <w:rPr>
                <w:rtl w:val="0"/>
              </w:rPr>
              <w:t xml:space="preserve">.1.1. un 15</w:t>
            </w:r>
            <w:r w:rsidR="00000000" w:rsidRPr="00000000" w:rsidDel="00000000">
              <w:rPr>
                <w:vertAlign w:val="superscript"/>
                <w:rtl w:val="0"/>
              </w:rPr>
              <w:t xml:space="preserve">1</w:t>
            </w:r>
            <w:r w:rsidR="00000000" w:rsidRPr="00000000" w:rsidDel="00000000">
              <w:rPr>
                <w:rtl w:val="0"/>
              </w:rPr>
              <w:t xml:space="preserve">.1.2. apakšpunktā minētajiem aizdevējiem;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21-TA-1496</w:t>
    </w:r>
    <w:r>
      <w:br/>
    </w:r>
    <w:r w:rsidR="00000000" w:rsidRPr="00000000" w:rsidDel="00000000">
      <w:rPr>
        <w:rtl w:val="0"/>
      </w:rPr>
      <w:t xml:space="preserve">07.02.2022. 12.01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21-TA-1496</w:t>
    </w:r>
    <w:r>
      <w:br/>
    </w:r>
    <w:r w:rsidR="00000000" w:rsidRPr="00000000" w:rsidDel="00000000">
      <w:rPr>
        <w:rtl w:val="0"/>
      </w:rPr>
      <w:t xml:space="preserve">07.02.2022. 12.01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Izziņa_21-TA-1496.docx</dc:title>
</cp:coreProperties>
</file>

<file path=docProps/custom.xml><?xml version="1.0" encoding="utf-8"?>
<Properties xmlns="http://schemas.openxmlformats.org/officeDocument/2006/custom-properties" xmlns:vt="http://schemas.openxmlformats.org/officeDocument/2006/docPropsVTypes"/>
</file>