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25-TA-233: Noteikumu 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Ministru kabineta 2023. gada 5. septembra noteikumos Nr. 511 "Eiropas Savienības kohēzijas politikas programmas 2021.–2027. gadam 4.3.4. specifiskā atbalsta mērķa "Sekmēt aktīvu iekļaušanu, lai veicinātu vienlīdzīgas iespējas, nediskriminēšanu un aktīvu līdzdalību, kā arī uzlabotu nodarbināmību, jo īpaši attiecībā uz nelabvēlīgā situācijā esošām grupām" 4.3.4.3. pasākuma "Pasākumi ģimenes un darba dzīves saskaņošanai" pirmās kārtas īstenošanas noteikumi"</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75.0" w:type="dxa"/>
              <w:left w:w="75.0" w:type="dxa"/>
              <w:bottom w:w="75.0" w:type="dxa"/>
              <w:right w:w="75.0" w:type="dxa"/>
            </w:tcMar>
            <w:tcBorders>
              <w:left w:val="nil"/>
              <w:right w:val="nil"/>
            </w:tcBorders>
          </w:tcPr>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1.0 Likumi.lv (08.09.2023.)</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- 22.05.2025.)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nodrošināt anotācijā papildus informāciju par Ekonomiskās sadarbības un attīstības organizācijas (turpmāk - OECD) aptauju "The OECD Risks That Matter Survey", papildinot to, piemēram, ar saiti uz iepriekš veiktajām šīs sērijas aptaujām https://www.oecd.org/en/about/programmes/oecd-risks-that-matter-rtm-survey.html . Lūdzam skaidrot anotācijā, vai ar sniegto informāciju ir jāsaprot, ka tiek plānota dalība OECD aptaujā 2026.gadā "Risks that Matter Survey" (jo iepriekšējās aptaujas veiktas 2018. un 2020., </w:t>
            </w:r>
            <w:r w:rsidR="00000000" w:rsidRPr="00000000" w:rsidDel="00000000">
              <w:rPr>
                <w:b w:val="1"/>
                <w:rtl w:val="0"/>
              </w:rPr>
              <w:t xml:space="preserve">2022., 2024.gadā</w:t>
            </w:r>
            <w:r w:rsidR="00000000" w:rsidRPr="00000000" w:rsidDel="00000000">
              <w:rPr>
                <w:rtl w:val="0"/>
              </w:rPr>
              <w:t xml:space="preserve">). Vienlaikus </w:t>
            </w:r>
            <w:r w:rsidR="00000000" w:rsidRPr="00000000" w:rsidDel="00000000">
              <w:rPr>
                <w:b w:val="1"/>
                <w:rtl w:val="0"/>
              </w:rPr>
              <w:t xml:space="preserve">lūdzam skaidrot,</w:t>
            </w:r>
            <w:r w:rsidR="00000000" w:rsidRPr="00000000" w:rsidDel="00000000">
              <w:rPr>
                <w:rtl w:val="0"/>
              </w:rPr>
              <w:t xml:space="preserve"> </w:t>
            </w:r>
            <w:r w:rsidR="00000000" w:rsidRPr="00000000" w:rsidDel="00000000">
              <w:rPr>
                <w:b w:val="1"/>
                <w:rtl w:val="0"/>
              </w:rPr>
              <w:t xml:space="preserve">kā</w:t>
            </w:r>
            <w:r w:rsidR="00000000" w:rsidRPr="00000000" w:rsidDel="00000000">
              <w:rPr>
                <w:rtl w:val="0"/>
              </w:rPr>
              <w:t xml:space="preserve"> šīs OECD aptaujas un citu pētījumu ciklu, programmu laika grafiks </w:t>
            </w:r>
            <w:r w:rsidR="00000000" w:rsidRPr="00000000" w:rsidDel="00000000">
              <w:rPr>
                <w:b w:val="1"/>
                <w:rtl w:val="0"/>
              </w:rPr>
              <w:t xml:space="preserve">iet kopā ar projekta Nr. 4.3.4.3/1/24/I/001 </w:t>
            </w:r>
            <w:r w:rsidR="00000000" w:rsidRPr="00000000" w:rsidDel="00000000">
              <w:rPr>
                <w:rtl w:val="0"/>
              </w:rPr>
              <w:t xml:space="preserve">(turpmāk - projekts Nr. 4.3.4.3/1/24/I/001) "Izvērtējumi pierādījumos balstītas sociālās politikas pilnveidei " </w:t>
            </w:r>
            <w:r w:rsidR="00000000" w:rsidRPr="00000000" w:rsidDel="00000000">
              <w:rPr>
                <w:b w:val="1"/>
                <w:rtl w:val="0"/>
              </w:rPr>
              <w:t xml:space="preserve">īstenošanas laika grafiku</w:t>
            </w:r>
            <w:r w:rsidR="00000000" w:rsidRPr="00000000" w:rsidDel="00000000">
              <w:rPr>
                <w:rtl w:val="0"/>
              </w:rPr>
              <w:t xml:space="preserve"> (projekta ieviešanas beigu datums ir 2029.gada 31.decembris) </w:t>
            </w:r>
            <w:r w:rsidR="00000000" w:rsidRPr="00000000" w:rsidDel="00000000">
              <w:rPr>
                <w:b w:val="1"/>
                <w:rtl w:val="0"/>
              </w:rPr>
              <w:t xml:space="preserve">un budžetu</w:t>
            </w:r>
            <w:r w:rsidR="00000000" w:rsidRPr="00000000" w:rsidDel="00000000">
              <w:rPr>
                <w:rtl w:val="0"/>
              </w:rPr>
              <w:t xml:space="preserve">, jo īpaši ņemot vērā, ka iepriekš minētā projekta ieviešanas sākuma datums ir 2023.gada 8.septembris.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atbilstoši 4.3.4.specifiskā atbalsta mērķa metodoloģiskajam rādītāju aprakstam (rādītāju pasei):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Veiktie aprēķini un pieņēmumi, kas izmantoti aprēķiniem 4.3.4.3. pasākumā - sasniedzamā vērtība noteikta, pieņemot, ka rādītājs tiks izpildīts, finansējuma saņēmējam (Labklājības ministrijai (turpmāk – LM), kas saskaņā ar tās nolikumu ir vadošā valsts pārvaldes iestāde darba, sociālās aizsardzības, bērnu un ģimenes tiesību, kā arī personu ar invaliditāti vienlīdzīgu iespēju un dzimumu līdztiesības jomā. Tās funkcijas paredz izstrādāt darba, sociālās aizsardzības, bērnu un ģimenes tiesību, kā arī personu ar invaliditāti vienlīdzīgu iespēju un dzimumu līdztiesības politiku, kā arī organizēt un koordinēt darba, sociālās aizsardzības, bērnu un ģimenes tiesību, kā arī personu ar invaliditāti vienlīdzīgu iespēju un dzimumu līdztiesības politikas īstenošanu) noslēdzot vienošanos par projekta īstenošanu.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LM noteiktās funkcijas, projektā ir plānots veikt šādus pasākumus: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īstenot sabiedrības izpratnes un informētības paaugstināšanas pasākumus par ģimenes un darba dzīves saskaņošanas un dzīves kvalitātes uzlabošanas dažādiem aspektiem un vienlīdzīgu iespēju un nediskriminācijas jautājumiem. Minētais ietver: sabiedrības izpratnes un informētības paaugstināšanas pasākumu īstenošanas stratēģijas izstrādi un, atbilstoši tai, integrētās mediju kampaņas īstenošanu, tai skaitā, publikācijas medijos, sociālo tīklu aktivitātes, vides un televīzijas reklāmas, televīzijas sižetus un video rullīšus, radio pārraides, diskusijas, seminārus, domnīcas, konferences, sadarbības tīklu veidošanu, sabiedriskās domas aptaujas u.c. pasākumus (indikatīvi 1 300 000 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veikt izvērtējumus par dzīves kvalitātes uzlabošanas dažādiem aspektiem, t.sk. iekļaujoša darba tirgus zinātnisko pētījumu, nabadzības un sociālās atstumtības risku izvērtējumus, sociālo pakalpojumu rezultātu un ietekmes izvērtējumus, pētījumus par darba apstākļiem un riskiem Latvijā, pētījumu sociālā darba attīstības jomā un bērnu tiesību aizsardzības jomā, tostarp sniedzot priekšlikumus nozares politikas un pasākumu pilnveidošanai (</w:t>
            </w:r>
            <w:r w:rsidR="00000000" w:rsidRPr="00000000" w:rsidDel="00000000">
              <w:rPr>
                <w:b w:val="1"/>
                <w:rtl w:val="0"/>
              </w:rPr>
              <w:t xml:space="preserve">indikatīvi 1  832 998 euro</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4.3.4.3. pasākumam kopējais plānotais finansējums ir 5 309 860 euro, t.sk. Eiropas Sociālā fonda Plus finansējums 4 513 381 euro (t.sk., administratīvās izmaksas 1 769 489 euro apmērā un netiešās izmaksas 7% jeb indikatīvi 347 374 euro apmērā, kā arī iepirkumu speciālista pakalpojuma izmaksas indikatīvi 59 999 euro).</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sarunu gaitā ar OECD kā potenciālo pētījuma veicēju, bija secināts, ka izvērtējums 4.3.4.3. pasākuma ietvaros tiks īstenots citas pētījuma sērijas ietvaros - “Studies on impact evaluation of labour market and social policies through the use of linked administrative and survey data”.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informāciju par minēto pētījumu lūdzam skatītanotācijas 1.3. sadaļā “Pašreizējā situācija, problēmas un risinājumi”.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Vēlamies uzsvērt, ka noteikumu projekts nemaina izvērtējumu skaitu un jomas, bet paplašina izvērtējumu veicēju piesaistes iespējas (t.i. bez izvērtējumu veicēju piesaistes iepirkumu procedūras rezultātā, paredzēta arī iespēja piemērot Publisko iepirkumu likuma 3.panta otrajā daļā minēto izņēmumu pētniecības pakalpojumiem). Indikatīvās  15 izvērtējumiem nepieciešamās izmaksas (šobrīd indikatīvi plānots ~ 2 milj. euro) nemainās, attiecīgi tam nav ietekmes uz projekta budžetu. SAM 4.3.4. rādītāju pasē indikatīvā finansējuma sadalījums paliek nemainīgs un citi precizējumi nav nepieciešami.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pirmreizēji apstiprinot Ministru kabineta 2023. gada 5. septembra noteikumus Nr. 511 “Eiropas Savienības kohēzijas politikas programmas 2021.–2027. gadam 4.3.4. specifiskā atbalsta mērķa "Sekmēt aktīvu iekļaušanu, lai veicinātu vienlīdzīgas iespējas, nediskriminēšanu un aktīvu līdzdalību, kā arī uzlabotu nodarbināmību, jo īpaši attiecībā uz nelabvēlīgā situācijā esošām grupām" 4.3.4.3. pasākuma "Pasākumi ģimenes un darba dzīves saskaņošanai" pirmās kārtas īstenošanas noteikumi”, nebija iespējams paredzēt/ ieplānot starptautisku pētījumu, jo izvērtējumi projekta ietvaros tiek plānoti un veikti, radot labāko risinājumu izvērtējumu ietvaram (saturam, periodam, apjomam, u.c.) uz pētījuma veikšanas uzsākšanas brīdi, ņemot vērā pieejamo statistiku, pētījumus un citus datus.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- 22.05.2025.)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sniegt anotācijā papildus informāciju par </w:t>
            </w:r>
            <w:r w:rsidR="00000000" w:rsidRPr="00000000" w:rsidDel="00000000">
              <w:rPr>
                <w:rtl w:val="0"/>
              </w:rPr>
              <w:t xml:space="preserve">projekta Nr.4.3.4.3/1/24/I/001 īstenošanu, norādot kādu finansējuma apjomu šobrīd veido izdevumu pozīcija "izvērtējumu izmaksas", t.i. kādas bija projektā sākotnēji apstiprinātās izmaksas. Vienlaikus arī lūdzam skaidrot, cik līdzšinēji izmaksājuši  jau īstenotie/ pabeigtie/ izstrādes procesā esošie izvērtējumi, pētījumi.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Informējam, ka OECD izvērtējuma (pētījuma) veikšanai nepieciešamais finansējums ir līdz 300 000 euro.  Līdzšinējie dati liecina, ka pētījumu izmaksas svārstās no 45 000 līdz 750 000 euro, ņemot vērā izvērtējumu tvērumu un specifiku. Ņemot vērā plānotos 15 izvērtējumus, šobrīd projekta budžetā paredzētais finansējums ir pietiekams visu 15 plānoto izvērtējumu veikšanai un papildu finansējums nav nepieciešams.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- 22.05.2025.)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1.3.sadaļas 4.punktā norādīts, ka FS drīkst neveikt iepirkumu saskaņā ar PIL, bet drīkst piemērot PIL 3.panta otrās daļas izņēmumu pētniecības pakalpojumiem. Vēršam uzmanību, ka minētais PIL 3.panta otrās daļas izņēmums nenodrošina, ka plānotais iepirkums tiks veikts, ievērojot atklātu, pārredzamu, nediskriminējošu, konkurenci nodrošinošu procedūru, kā rezultātā saskatāmi sekundārā valsts atbalsta riski pakalpojuma sniedzēja līmenī. Ja, izvērtējot sekundāros valsts atbalsta riskus pakalpojuma sniedzēja līmenī, tie netiek identificēti, lūdzam izvērtējumu iekļaut anotācijā.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1.6. sadaļa “Cita informācija” ir papildināta ar informāciju par plānotajām darbībām sekundārā valsts atbalsta risku novēršanai pakalpojuma sniedzēja līmenī.</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- 14.03.2025.)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1.3. apakšpunkta "Pašreizējā situācija, problēmas un risinājumi" sadaļas "Problēmas apraksts" 1.punktu ar informāciju par konkrētiem pasākumiem (numurs un nosaukums), uz kuriem tika novirzīts 4.3.4.3. pasākuma otrās kārtas finansējums, lai nodrošinātu informācijas izsekojamību.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- 14.03.2025.)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sadaļas "1.3. Pašreizējā situācija, problēmas un risinājumi", "Problēmas un risinājumi", "Problēmas apraksts" 6. punktā norādīts, ka atbilstoši  HP VINPI vadlīnijās noteiktajam pasākumiem ar </w:t>
            </w:r>
            <w:r w:rsidR="00000000" w:rsidRPr="00000000" w:rsidDel="00000000">
              <w:rPr>
                <w:u w:val="single"/>
                <w:rtl w:val="0"/>
              </w:rPr>
              <w:t xml:space="preserve">netiešu</w:t>
            </w:r>
            <w:r w:rsidR="00000000" w:rsidRPr="00000000" w:rsidDel="00000000">
              <w:rPr>
                <w:rtl w:val="0"/>
              </w:rPr>
              <w:t xml:space="preserve"> ietekmi uz horizontālo principu ir jāpiemēro vismaz viens horizontālā principa rādītājs.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labot, jo pasākumam ir noteikta </w:t>
            </w:r>
            <w:r w:rsidR="00000000" w:rsidRPr="00000000" w:rsidDel="00000000">
              <w:rPr>
                <w:u w:val="single"/>
                <w:rtl w:val="0"/>
              </w:rPr>
              <w:t xml:space="preserve">tieša</w:t>
            </w:r>
            <w:r w:rsidR="00000000" w:rsidRPr="00000000" w:rsidDel="00000000">
              <w:rPr>
                <w:rtl w:val="0"/>
              </w:rPr>
              <w:t xml:space="preserve"> ietekme uz HP.</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Cita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- 22.05.2025.)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šobrīd 4.3.4.3.pasākuma ietvaros tiek īstenots LM projekts Nr. 4.3.4.3/1/24/I/001, lūdzam anotācijā norādīt, </w:t>
            </w:r>
            <w:r w:rsidR="00000000" w:rsidRPr="00000000" w:rsidDel="00000000">
              <w:rPr>
                <w:b w:val="1"/>
                <w:rtl w:val="0"/>
              </w:rPr>
              <w:t xml:space="preserve">vai plānotajiem grozījumiem </w:t>
            </w:r>
            <w:r w:rsidR="00000000" w:rsidRPr="00000000" w:rsidDel="00000000">
              <w:rPr>
                <w:rtl w:val="0"/>
              </w:rPr>
              <w:t xml:space="preserve">kontekstā ar izvērtējumu veikšanu, kur: 1) var piedalīties OECD pētījumu ciklos, programmās vai aptaujās; 2)  var kā pakalpojuma sniedzējus piesaistīt organizācijas, iestādes vai pētnieku grupas (tai skaitā no ārvalstīm), kuru darbība ir saistīta ar dalību starptautiskajos pētījumos un pētījumu vai datu uzkrāšanas procesa ietvaros iegūtu rezultātu analizēšanu un izmantošanu sociālās politikas veidošanā </w:t>
            </w:r>
            <w:r w:rsidR="00000000" w:rsidRPr="00000000" w:rsidDel="00000000">
              <w:rPr>
                <w:b w:val="1"/>
                <w:rtl w:val="0"/>
              </w:rPr>
              <w:t xml:space="preserve">ir ietekme uz īstenošanā esošo projektu </w:t>
            </w:r>
            <w:r w:rsidR="00000000" w:rsidRPr="00000000" w:rsidDel="00000000">
              <w:rPr>
                <w:rtl w:val="0"/>
              </w:rPr>
              <w:t xml:space="preserve">Nr. 4.3.4.3/1/24/I/001, proti, vai nepieciešams veikt grozījumus vienošanās par projekta īstenošanu LM īstenotajam projektam.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1.6. sadaļa “Cita informācija” ir papildināta ar informāciju par to,  ka grozījumi MK noteikumu 19.1 punktā saistībā ar izvērtējumu veikšanu nemaina 4.3.4.3. pasākuma projekta darbību un budžeta izmaksu plānojumu, kā arī neietekmē laika grafiku. Finansējuma saņēmējam tiks lūgts izvērtēt vienošanās grozījumu nepieciešamību pēc TA projekta spēkā stāšanās.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Cita informācija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4.2.2. programmas iznākuma rādītājs – īstenotie izvērtējumi – 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- 22.05.2025.)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zem kuras no Eiropas Savienības kohēzijas politikas programmā 2021.-2027. gadam plānotajām atbalstāmajām darbībām* tiek paredzēts īstenot 19.</w:t>
            </w:r>
            <w:r w:rsidR="00000000" w:rsidRPr="00000000" w:rsidDel="00000000">
              <w:rPr>
                <w:vertAlign w:val="superscript"/>
                <w:rtl w:val="0"/>
              </w:rPr>
              <w:t xml:space="preserve">1</w:t>
            </w:r>
            <w:r w:rsidR="00000000" w:rsidRPr="00000000" w:rsidDel="00000000">
              <w:rPr>
                <w:rtl w:val="0"/>
              </w:rPr>
              <w:t xml:space="preserve"> punktā minētās darbības.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ievērojot, ka noteikumu grozījumu projekts paredz papildināt noteikumus ar jaunām atbalstāmām darbībām (piemēram, OECD aptauju "</w:t>
            </w:r>
            <w:r w:rsidR="00000000" w:rsidRPr="00000000" w:rsidDel="00000000">
              <w:rPr>
                <w:i w:val="1"/>
                <w:rtl w:val="0"/>
              </w:rPr>
              <w:t xml:space="preserve">Risks that matter"</w:t>
            </w:r>
            <w:r w:rsidR="00000000" w:rsidRPr="00000000" w:rsidDel="00000000">
              <w:rPr>
                <w:rtl w:val="0"/>
              </w:rPr>
              <w:t xml:space="preserve">), tad lūdzam anotācijā norādīt šī un citu starptautisko pētījuma izmaksas, kā arī izvērtēt sasniedzamo rādītāju sasniegšanu.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Ģimenes un darba dzīves saskaņošanai, lai atbalstītu cilvēkkapitāla attīstību, sekmētu darbinieku spēju savienot darbu un ģimenes dzīvi, paredzēti </w:t>
            </w:r>
            <w:r w:rsidR="00000000" w:rsidRPr="00000000" w:rsidDel="00000000">
              <w:rPr>
                <w:b w:val="1"/>
                <w:rtl w:val="0"/>
              </w:rPr>
              <w:t xml:space="preserve">izvērtējumi </w:t>
            </w:r>
            <w:r w:rsidR="00000000" w:rsidRPr="00000000" w:rsidDel="00000000">
              <w:rPr>
                <w:rtl w:val="0"/>
              </w:rPr>
              <w:t xml:space="preserve">par dzīves kvalitātes uzlabošanas dažādiem aspektiem, sabiedrības informēšanas un izglītošanas pasākumi, sabiedriskās aptaujas, informatīvo materiālu izstrāde par elastīgā darba laika un attālinātā darba prakses iespējām, par vienlīdzīgām iespējām un diskriminācijas novēršanu, savu tiesību pārstāvībai un īstenošanai.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LM skaidro, ka TA projekts neparedz jaunas atbalstāmās darbības īstenošanu, bet paredz iespēju MK noteikumu 19. punktā minēto 15 izvērtējumu veikšanai piesaistīt arī starptautiskus pētījumu veicējus. Attiecīgi projektā plānotie 15 izvērtējumi MK noteikumu 19. punktā minētajās politikas lomās joprojām atbilst Programmas atbalstāmajai darbībai “izvērtējumi par dzīves kvalitātes uzlabošanas dažādiem aspektiem”.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4.2.2. programmas iznākuma rādītājs – īstenotie izvērtējumi – 15.</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15.1. finansējuma saņēmēja projekta vadības un īstenošanas personāla izmaksas;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- 14.03.2025.)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trešajām pusēm būtu izsekojama izdevumu attiecināšana, it īpaši, ja līdz šim MK noteikumos bija uzsvērta 30% noslodze pie daļlaika iesaistes, aicinām MK noteikumu anotācijā norādīt šo 30% noslodzes nepieciešamību līdz vadošās iestādes vadlīniju attiecināmo izmaksu noteikšanai Nr.1.2. grozījumiem.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LM skaidro, ka TA projektā iekļautā redakcija nosaka, ka attiecināmas ir personāla izmaksas. Savukārt, ko tās sevī ietver, nosaka spēkā esošās vadošās iestādes vadlīnijas Nr. 1.2 “Vadlīnijas attiecināmo izmaksu noteikšanai Eiropas Savienības kohēzijas politikas programmas 2021.–2027.gada plānošanas periodā” (turpmāk – vadlīnijas). Finansējuma saņēmējam vadlīnijas ir saistošas, jo to paredz vienošanās ar Centrālo finanšu un līgumu aģentūru par projekta īstenošanu. Tā kā šobrīd spēkā esošās vadlīnijas paredz nosacījumu par 30 procentu noslodzes nepieciešamību daļlaika noslodzes gadījumā, projekta īstenošanā šis nosacījums būs jāievēro. Tikai tad, kad stāsies spēkā vadošās iestādes vadlīniju grozījumi, varēs piemērot tajos ietvertos nosacījumus.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Uzskatām, ka TA projektā iestrādātās izmaiņas ļaus pēc iespējas ātrāk uzsākt vadlīniju grozījumu piemērošanu.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15.1. finansējuma saņēmēja projekta vadības un īstenošanas personāla izmaksas;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15.2.3. normatīvajos aktos par kārtību, kādā veicama obligātā veselības pārbaude, paredzētās veselības pārbaužu izmaksas finansējuma saņēmēja projekta vadības un īstenošanas personālam, ja tās nav iekļautas veselības apdrošināšanas izmaksās;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- 22.05.2025.)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 ierosinājusi grozījumus MK noteikumu par SAM īstenošanu 15.1.punktā par personāla izmaksām, svītrojot prasību par vismaz 30% noslodzi daļlaika gadījumā atbilstoši plānotajiem grozījumiem Finanšu ministrijas plānotajiem vadlīnijās Nr.1.2. “Vadlīnijas attiecināmo izmaksu noteikšanai Eiropas Savienības kohēzijas politikas programmas 2021.-2027.gada plānošanas periodā” (turpmāk - Vadlīnijas). Atkārtoti lūdzam veikt arī citus saistītos grozījumus MK noteikumos par SAM īstenošanu, no tiešajām izmaksām svītrojot obligātās veselības pārbaudes izmaksas. Atbilstoši Vadlīniju grozījumiem tiešajās izmaksās iekļauj tikai tās izmaksas, kas pēc jēgas un būtības ir tieši saistītas ar projekta mērķa sasniegšanu. Saskaņā ar Vadlīniju plānoto grozījumu 5.2.apakšpunktu obligātās veselības pārbaudes izmaksas tiek paredzētas kā netiešās attiecināmās izmaksas. Plānoto Vadlīniju grozījumu 1.punktā noteikts, ka netiešās attiecināmās izmaksas var paredzēt/attiecināt kā tiešās attiecināmās izmaksas, ja tām ir sniegts argumentēts pamatojums MK noteikumu par SAM īstenošanu izstrādes laikā un ir pamatota izmaksu tieša sasaiste ar projekta mērķi, ir izvērtētas samērīguma, lietderības, vienotas pieejas un labas finanšu pārvaldības principu ievērošana un tiešo/netiešo izmaksu būtība. Tāpat 1.punktā noteikts, ka veicot grozījumus MK noteikumos par SAM īstenošanu, kas skar vadlīniju piemērošanas pieejas maiņu, atsakoties no iepriekš noteiktiem ierobežojumiem, atbildīgā iestāde izvērtē visas izmaksu pozīcijas un nosacījumus MK noteikumos par SAM īstenošanu, t.sk. ietekmi uz jau īstenošanā esošajiem projektiem, sniedzot argumentētu pamatojumu anotācijā. Vienlaikus vadošā iestāde Vadlīniju grozījumu saskaņošanas procesā ir norādījusi, ka atbildīgajām iestādēm jāņem vērā visi vadlīnijās veiktie grozījumi, ne tikai vēlamie, tas nozīmē, ka jāizvērtē visas izmaksu pozīcijas un nosacījumus MK noteikumos, kurus ietekmē izmaiņas vadlīnijās.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15.2.3. normatīvajos aktos par kārtību, kādā veicama obligātā veselības pārbaude, paredzētās veselības pārbaužu izmaksas finansējuma saņēmēja projekta vadības un īstenošanas personālam, ja tās nav iekļautas veselības apdrošināšanas izmaksās;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- 14.03.2025.)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ar šiem grozījumiem plānots dzēst detalizētāku uzskaitījumu par personāla izmaksām (veselības apdrošināšanas un redzes korekcijas līdzekļu kompensācijas izmaksas), atsaucoties uz vadošās iestādes vadlīniju attiecināmo izmaksu noteikšanai Nr.1.2. grozījumiem, tad pēc līdzības aicinām no MK noteikumiem dzēst arī obligātās veselības pārbaudes izmaksas, kuras pēc šo vadlīniju Nr.1.2. grozījumiem tiek plānotas kā netiešās izmaksas, anotācijā skaidrojot attiecināšanas nosacījumus.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LM skaidro, ka, atbilstoši spēkā esošo vadošās iestādes vadlīniju Nr. 1.2. “Vadlīnijas attiecināmo izmaksu noteikšanai Eiropas Savienības kohēzijas politikas programmas 2021.–2027. gada plānošanas periodā” 39. punktā noteiktajam, veselības apdrošināšanas izmaksas, obligātās veselības pārbaudes nodrošināšanas izmaksas, redzes korekcijas līdzekļu izmaksas projektos valsts pārvaldes iestādēm tiek plānotas kā tiešās attiecināmās izmaksas, ja tās ir nepieciešamas projekta vadības un īstenošanas personālam, kas nodrošina projekta mērķu sasniegšanu, un tas ir atrunāts MK noteikumos par SAM īstenošanu.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projekta īstenošana jau ir uzsākusies, LM ieskatā ir nepieciešams pieturēties pie esošā tiešo/netiešo izmaksu dalījuma, nodrošinot tiesisko paļāvību.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15.2.4. līdz personāla izmaksu metodikas apstiprināšanai – redzes korekcijas līdzekļu kompensācija finansējuma saņēmēja projekta vadības un īstenošanas personālam, ja tā nav iekļauta šo noteikumu </w:t>
            </w:r>
            <w:r w:rsidR="00000000" w:rsidRPr="00000000" w:rsidDel="00000000">
              <w:rPr>
                <w:rtl w:val="0"/>
              </w:rPr>
              <w:t xml:space="preserve">["Kļūda! Atsauces avots nav atrasts."] </w:t>
            </w:r>
            <w:r w:rsidR="00000000" w:rsidRPr="00000000" w:rsidDel="00000000">
              <w:rPr>
                <w:rtl w:val="0"/>
              </w:rPr>
              <w:t xml:space="preserve"> apakšpunktā</w:t>
            </w:r>
            <w:r w:rsidR="00000000" w:rsidRPr="00000000" w:rsidDel="00000000">
              <w:rPr>
                <w:rtl w:val="0"/>
              </w:rPr>
              <w:t xml:space="preserve"> minētajās veselības apdrošināšanas izmaksās.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- 14.03.2025.)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MK noteikumu anotācijā precīzāk skaidrot 15.2.4.p. un 16.2.p. svītroto izmaksu turpmāku attiecināšanas principu – attiecināmas no tiešajām vai netiešajām izmaksām.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LM skaidro, ka no MK noteikumiem Nr. 511 svītrotās 15.2.4. un 16.2. apakšpunktā minētās izmaksas tiks segtas atbilstoši spēkā esošajām attiecināmo izmaksu vadlīnijām. Šobrīd atbilstoši spēkā esošajām attiecināmo izmaksu vadlīnijām  (skat. 7.15.2.2. apakšpunktu un zemsvītrā ietverto skaidrojumu) veselības apdrošināšana un redzes korekcijas līdzekļu kompensācija ir attiecināma no tiešajām personāla izmaksām.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15.2.4. līdz personāla izmaksu metodikas apstiprināšanai – redzes korekcijas līdzekļu kompensācija finansējuma saņēmēja projekta vadības un īstenošanas personālam, ja tā nav iekļauta šo noteikumu </w:t>
            </w:r>
            <w:r w:rsidR="00000000" w:rsidRPr="00000000" w:rsidDel="00000000">
              <w:rPr>
                <w:rtl w:val="0"/>
              </w:rPr>
              <w:t xml:space="preserve">["Kļūda! Atsauces avots nav atrasts."] </w:t>
            </w:r>
            <w:r w:rsidR="00000000" w:rsidRPr="00000000" w:rsidDel="00000000">
              <w:rPr>
                <w:rtl w:val="0"/>
              </w:rPr>
              <w:t xml:space="preserve"> apakšpunktā</w:t>
            </w:r>
            <w:r w:rsidR="00000000" w:rsidRPr="00000000" w:rsidDel="00000000">
              <w:rPr>
                <w:rtl w:val="0"/>
              </w:rPr>
              <w:t xml:space="preserve"> minētajās veselības apdrošināšanas izmaksās.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16.1. darba vietas aprīkojuma iegādei vai nomai, tai skaitā aprīkojuma uzturēšanai un remontam, finansējuma saņēmēja projekta vadības un īstenošanas personālam jaunu darba vietu radīšanai, vai gadījumā, ja esošo darba vietu aprīkojums ir nolietojies un tiek norakstīts, var paredzēt ne vairāk kā 3000 </w:t>
            </w:r>
            <w:r w:rsidR="00000000" w:rsidRPr="00000000" w:rsidDel="00000000">
              <w:rPr>
                <w:i w:val="1"/>
                <w:rtl w:val="0"/>
              </w:rPr>
              <w:t xml:space="preserve">euro</w:t>
            </w:r>
            <w:r w:rsidR="00000000" w:rsidRPr="00000000" w:rsidDel="00000000">
              <w:rPr>
                <w:rtl w:val="0"/>
              </w:rPr>
              <w:t xml:space="preserve"> vienai darba vietai projekta īstenošanas laikā. Ja personāls ir nodarbināts normālu darba laiku, darba vietas aprīkojuma izmaksas ir attiecināmas 100 procentu apmērā. Ja personāls ir nodarbināts nepilnu darba laiku, darba vietas aprīkojuma izmaksas ir attiecināmas proporcionāli slodzes procentuālajam sadalījumam. Ja personāla atlīdzībai piemēro daļlaika izmaksu attiecināmības principu, darba vietas aprīkojuma izmaksas ir attiecināmas proporcionāli slodzes procentuālajam sadalījumam un nodarbinātā iesaistes periodam projektā;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- 14.03.2025.)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Gadījumā, ja tiek slēgti uzņēmuma līgumi par projekta vadību, grāmatvedību vai tamlīdzīgu pakalpojumu sniegšanu, tad pēc būtības tas ir pakalpojums, ko piesaistītais personāls sniedz ar saviem materiālajiem resursiem, līdz ar to darba vietas aprīkojuma izmaksas šajā gadījumā nebūtu attiecināmas. Ņemot vērā minēto, lūdzam izvērtēt, vai noteikumu projekta 16.1. apakšpunktā nebūtu jāveic precizējumi, norādot, ka darba vietas aprīkojuma izmaksas ir attiecināmas personālam, kas nodarbināti uz darba līguma vai rīkojuma pamata.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LM ieskatā no šī brīža MK noteikumu Nr. 511 16.1. apakšpunkta redakcijas ir saprotams, ka jaunu darba vietu radīšanas vai esošo atjaunošanas izmaksas ir attiecināmas tikai tam personālam, kas nodarbināts uz darba līguma vai rīkojuma pamata, jo ir ietverts skaidrojums par izmaksu attiecināšanas proporciju atbilstoši noslodzei (normāls vai nepilns darba laiks). Papildus vēršam uzmanību, ka, slēdzot uzņēmuma līgumu, tajā tiek norādīta līgumsumma (ietver visas pakalpojuma sniegšanai nepieciešamās izmaksas), kurai papildus projektā izdevumi netiek plānoti.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16.1. darba vietas aprīkojuma iegādei vai nomai, tai skaitā aprīkojuma uzturēšanai un remontam, finansējuma saņēmēja projekta vadības un īstenošanas personālam jaunu darba vietu radīšanai, vai gadījumā, ja esošo darba vietu aprīkojums ir nolietojies un tiek norakstīts, var paredzēt ne vairāk kā 3000 </w:t>
            </w:r>
            <w:r w:rsidR="00000000" w:rsidRPr="00000000" w:rsidDel="00000000">
              <w:rPr>
                <w:i w:val="1"/>
                <w:rtl w:val="0"/>
              </w:rPr>
              <w:t xml:space="preserve">euro</w:t>
            </w:r>
            <w:r w:rsidR="00000000" w:rsidRPr="00000000" w:rsidDel="00000000">
              <w:rPr>
                <w:rtl w:val="0"/>
              </w:rPr>
              <w:t xml:space="preserve"> vienai darba vietai projekta īstenošanas laikā. Ja personāls ir nodarbināts normālu darba laiku, darba vietas aprīkojuma izmaksas ir attiecināmas 100 procentu apmērā. Ja personāls ir nodarbināts nepilnu darba laiku, darba vietas aprīkojuma izmaksas ir attiecināmas proporcionāli slodzes procentuālajam sadalījumam. Ja personāla atlīdzībai piemēro daļlaika izmaksu attiecināmības principu, darba vietas aprīkojuma izmaksas ir attiecināmas proporcionāli slodzes procentuālajam sadalījumam un nodarbinātā iesaistes periodam projektā;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r w:rsidR="00000000" w:rsidRPr="00000000" w:rsidDel="00000000">
              <w:rPr>
                <w:vertAlign w:val="superscript"/>
                <w:rtl w:val="0"/>
              </w:rPr>
              <w:t xml:space="preserve">1</w:t>
            </w:r>
            <w:r w:rsidR="00000000" w:rsidRPr="00000000" w:rsidDel="00000000">
              <w:rPr>
                <w:rtl w:val="0"/>
              </w:rPr>
              <w:t xml:space="preserve"> Šo noteikumu 19. punktā minēto izvērtējumu veikšanai finansējuma saņēmējs: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r w:rsidR="00000000" w:rsidRPr="00000000" w:rsidDel="00000000">
              <w:rPr>
                <w:vertAlign w:val="superscript"/>
                <w:rtl w:val="0"/>
              </w:rPr>
              <w:t xml:space="preserve">1</w:t>
            </w:r>
            <w:r w:rsidR="00000000" w:rsidRPr="00000000" w:rsidDel="00000000">
              <w:rPr>
                <w:rtl w:val="0"/>
              </w:rPr>
              <w:t xml:space="preserve">1. var piedalīties Ekonomiskās sadarbības un attīstības organizācijas pētījumu ciklos, programmās vai aptaujās;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r w:rsidR="00000000" w:rsidRPr="00000000" w:rsidDel="00000000">
              <w:rPr>
                <w:vertAlign w:val="superscript"/>
                <w:rtl w:val="0"/>
              </w:rPr>
              <w:t xml:space="preserve">2</w:t>
            </w:r>
            <w:r w:rsidR="00000000" w:rsidRPr="00000000" w:rsidDel="00000000">
              <w:rPr>
                <w:rtl w:val="0"/>
              </w:rPr>
              <w:t xml:space="preserve">2. var kā pakalpojuma sniedzējus piesaistīt organizācijas, iestādes vai pētnieku grupas (tai skaitā no ārvalstīm), kuru darbība ir saistīta ar dalību starptautiskajos pētījumos un pētījumu vai datu uzkrāšanas procesa ietvaros iegūtu rezultātu analizēšanu un izmantošanu sociālās politikas veidošanā.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- 22.05.2025.)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skaidrot, kādu praktisku ieguvumu saņems Latvijas iedzīvotāji savas ģimenes un darba dzīves saskaņošanai, pēc vismaz 15 politikas veidošanai nepieciešamo izvērtējumu īstenošanas.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 papildināta anotācijas 2. sadaļa “Tiesību akta projekta ietekmējamās sabiedrības grupas, ietekme uz tautsaimniecības attīstību un administratīvo slogu” ar informāciju par to, kādu praktisku ieguvumu projekta rezultātā saņems Latvijas iedzīvotāji savas ģimenes un darba dzīves saskaņošanai.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r w:rsidR="00000000" w:rsidRPr="00000000" w:rsidDel="00000000">
              <w:rPr>
                <w:vertAlign w:val="superscript"/>
                <w:rtl w:val="0"/>
              </w:rPr>
              <w:t xml:space="preserve">1</w:t>
            </w:r>
            <w:r w:rsidR="00000000" w:rsidRPr="00000000" w:rsidDel="00000000">
              <w:rPr>
                <w:rtl w:val="0"/>
              </w:rPr>
              <w:t xml:space="preserve"> Šo noteikumu 19. punktā minēto izvērtējumu veikšanai finansējuma saņēmējs: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r w:rsidR="00000000" w:rsidRPr="00000000" w:rsidDel="00000000">
              <w:rPr>
                <w:vertAlign w:val="superscript"/>
                <w:rtl w:val="0"/>
              </w:rPr>
              <w:t xml:space="preserve">1</w:t>
            </w:r>
            <w:r w:rsidR="00000000" w:rsidRPr="00000000" w:rsidDel="00000000">
              <w:rPr>
                <w:rtl w:val="0"/>
              </w:rPr>
              <w:t xml:space="preserve">1. var piedalīties Ekonomiskās sadarbības un attīstības organizācijas pētījumu ciklos, programmās vai aptaujās;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r w:rsidR="00000000" w:rsidRPr="00000000" w:rsidDel="00000000">
              <w:rPr>
                <w:vertAlign w:val="superscript"/>
                <w:rtl w:val="0"/>
              </w:rPr>
              <w:t xml:space="preserve">2</w:t>
            </w:r>
            <w:r w:rsidR="00000000" w:rsidRPr="00000000" w:rsidDel="00000000">
              <w:rPr>
                <w:rtl w:val="0"/>
              </w:rPr>
              <w:t xml:space="preserve">2. var kā pakalpojuma sniedzējus piesaistīt organizācijas, iestādes vai pētnieku grupas (tai skaitā no ārvalstīm), kuru darbība ir saistīta ar dalību starptautiskajos pētījumos un pētījumu vai datu uzkrāšanas procesa ietvaros iegūtu rezultātu analizēšanu un izmantošanu sociālās politikas veidošanā.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r w:rsidR="00000000" w:rsidRPr="00000000" w:rsidDel="00000000">
              <w:rPr>
                <w:vertAlign w:val="superscript"/>
                <w:rtl w:val="0"/>
              </w:rPr>
              <w:t xml:space="preserve">1</w:t>
            </w:r>
            <w:r w:rsidR="00000000" w:rsidRPr="00000000" w:rsidDel="00000000">
              <w:rPr>
                <w:rtl w:val="0"/>
              </w:rPr>
              <w:t xml:space="preserve"> Šo noteikumu 19. punktā minēto izvērtējumu veikšanai finansējuma saņēmējs: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r w:rsidR="00000000" w:rsidRPr="00000000" w:rsidDel="00000000">
              <w:rPr>
                <w:vertAlign w:val="superscript"/>
                <w:rtl w:val="0"/>
              </w:rPr>
              <w:t xml:space="preserve">1</w:t>
            </w:r>
            <w:r w:rsidR="00000000" w:rsidRPr="00000000" w:rsidDel="00000000">
              <w:rPr>
                <w:rtl w:val="0"/>
              </w:rPr>
              <w:t xml:space="preserve">1. var piedalīties Ekonomiskās sadarbības un attīstības organizācijas pētījumu ciklos, programmās vai aptaujās;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r w:rsidR="00000000" w:rsidRPr="00000000" w:rsidDel="00000000">
              <w:rPr>
                <w:vertAlign w:val="superscript"/>
                <w:rtl w:val="0"/>
              </w:rPr>
              <w:t xml:space="preserve">2</w:t>
            </w:r>
            <w:r w:rsidR="00000000" w:rsidRPr="00000000" w:rsidDel="00000000">
              <w:rPr>
                <w:rtl w:val="0"/>
              </w:rPr>
              <w:t xml:space="preserve">2. var kā pakalpojuma sniedzējus piesaistīt organizācijas, iestādes vai pētnieku grupas (tai skaitā no ārvalstīm), kuru darbība ir saistīta ar dalību starptautiskajos pētījumos un pētījumu vai datu uzkrāšanas procesa ietvaros iegūtu rezultātu analizēšanu un izmantošanu sociālās politikas veidošanā.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- 22.05.2025.)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projektā jauno atbalstāmo darbību "Ekonomiskās sadarbības un attīstības organizācijas pētījumu ciklos, programmās vai aptaujās" konkretizējot tos, jo OECD pētījumi, aptaujas, u.c. var būt daudz, dažādas un dažādās tēmās. Līdz ar to aicinām atbalstāmo darbību papildināt vismaz ar nosaukumu "Risks that Matter Survey". Attiecīgi lūdzam precizēt arī informāciju anotācijā, vienlaikus saprotot pētījumu ciklu, programmu un aptauju izmaksas.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neparedz jaunas atbalstāmās darbības īstenošanu, bet gan paplašina izvērtējumu veicēju piesaistes iespējas. Attiecīgi  tas ļautu izvērtējumu veikšanai pēc nepieciešamības piesaistīt OECD vai citus starptautiskus pētījumu veicējus MK noteikumu 19. punktā noteiktajās politikas jomās. Konkrēta pētījuma noteikšana atbalstāmajās darbībās vairos administratīvo slogu MK noteikumu Nr. 511 veikšanās, ja mainās pētījuma nosaukums vai to ir nepieciešams papildināt ar vēl kādu starptautisku pētījumu.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r w:rsidR="00000000" w:rsidRPr="00000000" w:rsidDel="00000000">
              <w:rPr>
                <w:vertAlign w:val="superscript"/>
                <w:rtl w:val="0"/>
              </w:rPr>
              <w:t xml:space="preserve">1</w:t>
            </w:r>
            <w:r w:rsidR="00000000" w:rsidRPr="00000000" w:rsidDel="00000000">
              <w:rPr>
                <w:rtl w:val="0"/>
              </w:rPr>
              <w:t xml:space="preserve"> Šo noteikumu 19. punktā minēto izvērtējumu veikšanai finansējuma saņēmējs: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r w:rsidR="00000000" w:rsidRPr="00000000" w:rsidDel="00000000">
              <w:rPr>
                <w:vertAlign w:val="superscript"/>
                <w:rtl w:val="0"/>
              </w:rPr>
              <w:t xml:space="preserve">1</w:t>
            </w:r>
            <w:r w:rsidR="00000000" w:rsidRPr="00000000" w:rsidDel="00000000">
              <w:rPr>
                <w:rtl w:val="0"/>
              </w:rPr>
              <w:t xml:space="preserve">1. var piedalīties Ekonomiskās sadarbības un attīstības organizācijas pētījumu ciklos, programmās vai aptaujās;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r w:rsidR="00000000" w:rsidRPr="00000000" w:rsidDel="00000000">
              <w:rPr>
                <w:vertAlign w:val="superscript"/>
                <w:rtl w:val="0"/>
              </w:rPr>
              <w:t xml:space="preserve">2</w:t>
            </w:r>
            <w:r w:rsidR="00000000" w:rsidRPr="00000000" w:rsidDel="00000000">
              <w:rPr>
                <w:rtl w:val="0"/>
              </w:rPr>
              <w:t xml:space="preserve">2. var kā pakalpojuma sniedzējus piesaistīt organizācijas, iestādes vai pētnieku grupas (tai skaitā no ārvalstīm), kuru darbība ir saistīta ar dalību starptautiskajos pētījumos un pētījumu vai datu uzkrāšanas procesa ietvaros iegūtu rezultātu analizēšanu un izmantošanu sociālās politikas veidošanā.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25-TA-233</w:t>
    </w:r>
    <w:r>
      <w:br/>
    </w:r>
    <w:r w:rsidR="00000000" w:rsidRPr="00000000" w:rsidDel="00000000">
      <w:rPr>
        <w:rtl w:val="0"/>
      </w:rPr>
      <w:t xml:space="preserve">20.06.2025. 11.05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25-TA-233</w:t>
    </w:r>
    <w:r>
      <w:br/>
    </w:r>
    <w:r w:rsidR="00000000" w:rsidRPr="00000000" w:rsidDel="00000000">
      <w:rPr>
        <w:rtl w:val="0"/>
      </w:rPr>
      <w:t xml:space="preserve">20.06.2025. 11.05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Izziņa_25-TA-233.docx</dc:title>
</cp:coreProperties>
</file>

<file path=docProps/custom.xml><?xml version="1.0" encoding="utf-8"?>
<Properties xmlns="http://schemas.openxmlformats.org/officeDocument/2006/custom-properties" xmlns:vt="http://schemas.openxmlformats.org/officeDocument/2006/docPropsVTypes"/>
</file>