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8.1 -->
  <w:body>
    <w:p w:rsidR="000F716B" w:rsidP="000F716B" w14:paraId="12F168F4" w14:textId="77777777">
      <w:pPr>
        <w:spacing w:after="0"/>
        <w:jc w:val="right"/>
        <w:rPr>
          <w:b/>
        </w:rPr>
      </w:pPr>
    </w:p>
    <w:p w:rsidR="00104688" w:rsidP="000F716B" w14:paraId="12F168F5" w14:textId="77777777">
      <w:pPr>
        <w:spacing w:after="0"/>
        <w:jc w:val="right"/>
        <w:rPr>
          <w:b/>
        </w:rPr>
      </w:pPr>
    </w:p>
    <w:p w:rsidR="007A2264" w:rsidP="000F716B" w14:paraId="12F168F6" w14:textId="36300844">
      <w:pPr>
        <w:spacing w:after="0"/>
        <w:jc w:val="right"/>
        <w:rPr>
          <w:b/>
        </w:rPr>
      </w:pPr>
      <w:r>
        <w:rPr>
          <w:b/>
          <w:noProof/>
        </w:rPr>
        <w:t>Tieslietu ministrija</w:t>
      </w:r>
      <w:r w:rsidR="00264F65">
        <w:rPr>
          <w:b/>
          <w:noProof/>
        </w:rPr>
        <w:t>i</w:t>
      </w:r>
    </w:p>
    <w:p w:rsidR="00104688" w:rsidP="000F716B" w14:paraId="12F168F7" w14:textId="77777777">
      <w:pPr>
        <w:spacing w:after="0"/>
        <w:jc w:val="right"/>
        <w:rPr>
          <w:b/>
        </w:rPr>
      </w:pPr>
    </w:p>
    <w:p w:rsidR="00104688" w:rsidP="000F716B" w14:paraId="12F168F8" w14:textId="77777777">
      <w:pPr>
        <w:spacing w:after="0"/>
        <w:jc w:val="right"/>
        <w:rPr>
          <w:b/>
        </w:rPr>
      </w:pPr>
    </w:p>
    <w:p w:rsidR="00264F65" w:rsidP="00104688" w14:paraId="1BD32C5F" w14:textId="77777777">
      <w:pPr>
        <w:spacing w:after="0" w:line="240" w:lineRule="auto"/>
        <w:jc w:val="both"/>
        <w:rPr>
          <w:i/>
          <w:noProof/>
        </w:rPr>
      </w:pPr>
      <w:r>
        <w:rPr>
          <w:i/>
          <w:noProof/>
        </w:rPr>
        <w:t>Par atzinuma sniegšanu</w:t>
      </w:r>
    </w:p>
    <w:p w:rsidR="007A2264" w:rsidP="00104688" w14:paraId="12F168F9" w14:textId="55A9971F">
      <w:pPr>
        <w:spacing w:after="0" w:line="240" w:lineRule="auto"/>
        <w:jc w:val="both"/>
        <w:rPr>
          <w:i/>
          <w:noProof/>
        </w:rPr>
      </w:pPr>
      <w:r w:rsidRPr="009C426E">
        <w:rPr>
          <w:i/>
          <w:noProof/>
        </w:rPr>
        <w:t>VSS-366</w:t>
      </w:r>
    </w:p>
    <w:p w:rsidR="00104688" w:rsidRPr="009C426E" w:rsidP="00104688" w14:paraId="12F168FA" w14:textId="77777777">
      <w:pPr>
        <w:spacing w:after="0" w:line="240" w:lineRule="auto"/>
        <w:jc w:val="both"/>
        <w:rPr>
          <w:i/>
        </w:rPr>
      </w:pPr>
    </w:p>
    <w:p w:rsidR="00104688" w:rsidP="00104688" w14:paraId="12F168FB" w14:textId="77777777">
      <w:pPr>
        <w:spacing w:after="0" w:line="240" w:lineRule="auto"/>
        <w:jc w:val="both"/>
      </w:pPr>
    </w:p>
    <w:p w:rsidR="00264F65" w:rsidRPr="00264F65" w:rsidP="00264F65" w14:paraId="2F5D07A1" w14:textId="77777777">
      <w:pPr>
        <w:spacing w:after="0" w:line="240" w:lineRule="auto"/>
        <w:ind w:firstLine="720"/>
        <w:jc w:val="both"/>
      </w:pPr>
      <w:r w:rsidRPr="00264F65">
        <w:t>Aizsardzības ministrija ir izvērtējusi Informatīvo ziņojumu un sniedz šādu viedokli.</w:t>
      </w:r>
    </w:p>
    <w:p w:rsidR="00264F65" w:rsidRPr="00264F65" w:rsidP="00264F65" w14:paraId="1EFA7884" w14:textId="77777777">
      <w:pPr>
        <w:spacing w:after="0" w:line="240" w:lineRule="auto"/>
        <w:ind w:firstLine="720"/>
        <w:jc w:val="both"/>
      </w:pPr>
      <w:r w:rsidRPr="00264F65">
        <w:t>Aizsardzības ministrija konceptuāli iebilst pret Informatīvajā ziņojumā sniegto informāciju un neatbalsta tā  tālāku virzību piedāvātajā redakcijā. Sagatavojot to, nav ņemts vērā:</w:t>
      </w:r>
    </w:p>
    <w:p w:rsidR="00264F65" w:rsidRPr="00264F65" w:rsidP="00264F65" w14:paraId="09EE2F4E" w14:textId="77777777">
      <w:pPr>
        <w:numPr>
          <w:ilvl w:val="0"/>
          <w:numId w:val="12"/>
        </w:numPr>
        <w:spacing w:after="0" w:line="240" w:lineRule="auto"/>
        <w:jc w:val="both"/>
      </w:pPr>
      <w:r w:rsidRPr="00264F65">
        <w:t xml:space="preserve">to iestāžu viedoklis, kuras ikdienā apstrādā lielu daudzumu informācijas dienesta vajadzībām; </w:t>
      </w:r>
    </w:p>
    <w:p w:rsidR="00264F65" w:rsidRPr="00264F65" w:rsidP="00264F65" w14:paraId="11998487" w14:textId="77777777">
      <w:pPr>
        <w:numPr>
          <w:ilvl w:val="0"/>
          <w:numId w:val="12"/>
        </w:numPr>
        <w:spacing w:after="0" w:line="240" w:lineRule="auto"/>
        <w:jc w:val="both"/>
      </w:pPr>
      <w:r w:rsidRPr="00264F65">
        <w:t>uzkrātā pieredze, kopš Latvija ir tādu starptautisko organizāciju kā NATO un Eiropas Savienība dalībniece;</w:t>
      </w:r>
    </w:p>
    <w:p w:rsidR="00264F65" w:rsidRPr="00264F65" w:rsidP="00264F65" w14:paraId="497DE391" w14:textId="77777777">
      <w:pPr>
        <w:numPr>
          <w:ilvl w:val="0"/>
          <w:numId w:val="12"/>
        </w:numPr>
        <w:spacing w:after="0" w:line="240" w:lineRule="auto"/>
        <w:jc w:val="both"/>
      </w:pPr>
      <w:r w:rsidRPr="00264F65">
        <w:t xml:space="preserve"> pašreizējā drošības situācija Eiropā un pasaulē kopumā.</w:t>
      </w:r>
    </w:p>
    <w:p w:rsidR="00264F65" w:rsidRPr="00264F65" w:rsidP="00264F65" w14:paraId="7D90182D" w14:textId="77777777">
      <w:pPr>
        <w:spacing w:after="0" w:line="240" w:lineRule="auto"/>
        <w:ind w:firstLine="720"/>
        <w:jc w:val="both"/>
      </w:pPr>
      <w:r w:rsidRPr="00264F65">
        <w:t xml:space="preserve">Kopš 2014. gada drošības situācija ir ievērojami mainījusies. Ir pieaugusi ar valsts drošību saistītās informācijas nozīme. Par to liecina pastiprinātā interese par informāciju, kuru apkopojot, var iegūt priekšstatu par dažādām, ar valsts drošību saistītām jomām. Gan Latvijā, gan citās Eiropas valstīs ir uzsākti kriminālprocesi par informācijas vākšanu un nodošanu ārvalstu speciālajiem dienestiem. Aktuālās drošības situācijas dēļ atsauces uz viedokļiem par personas tiesībām iegūt informāciju nevar dominēt pār informācijas aizsardzības prasībām. </w:t>
      </w:r>
    </w:p>
    <w:p w:rsidR="00264F65" w:rsidRPr="00264F65" w:rsidP="00264F65" w14:paraId="1BFC62C5" w14:textId="77777777">
      <w:pPr>
        <w:spacing w:after="0" w:line="240" w:lineRule="auto"/>
        <w:jc w:val="both"/>
      </w:pPr>
      <w:r w:rsidRPr="00264F65">
        <w:t xml:space="preserve"> Lai nodrošinātu dokumentu integritāti un autentiskumu, gan NATO, gan Eiropas Savienībā ir izstrādāta strikta informācijas aizsardzības politika, tostarp tādu dokumentu kā </w:t>
      </w:r>
      <w:r w:rsidRPr="00264F65">
        <w:rPr>
          <w:i/>
        </w:rPr>
        <w:t>NATO RESTRICTED</w:t>
      </w:r>
      <w:r w:rsidRPr="00264F65">
        <w:t xml:space="preserve">, </w:t>
      </w:r>
      <w:r w:rsidRPr="00264F65">
        <w:rPr>
          <w:i/>
        </w:rPr>
        <w:t>RESTREINT UE/EU RESTRICTED</w:t>
      </w:r>
      <w:r w:rsidRPr="00264F65">
        <w:t xml:space="preserve">, </w:t>
      </w:r>
      <w:r w:rsidRPr="00264F65">
        <w:rPr>
          <w:i/>
        </w:rPr>
        <w:t>NATO UNCLASSIFIED</w:t>
      </w:r>
      <w:r w:rsidRPr="00264F65">
        <w:t xml:space="preserve"> un </w:t>
      </w:r>
      <w:r w:rsidRPr="00264F65">
        <w:rPr>
          <w:i/>
        </w:rPr>
        <w:t>LIMITE</w:t>
      </w:r>
      <w:r w:rsidRPr="00264F65">
        <w:t xml:space="preserve"> aizsardzība. Savukārt Latvijā spēkā esošie tiesību akti ir mulsinoši ne tikai darbiniekiem, kuri ikdienā reti sastopas ar informāciju dienesta vajadzībām un NATO un Eiropas Savienības klasificēto informāciju, bet arī tiem, kuri ikdienā ar to strādā. </w:t>
      </w:r>
    </w:p>
    <w:p w:rsidR="00264F65" w:rsidRPr="00264F65" w:rsidP="00264F65" w14:paraId="3C65F31D" w14:textId="77777777">
      <w:pPr>
        <w:spacing w:after="0" w:line="240" w:lineRule="auto"/>
        <w:jc w:val="both"/>
      </w:pPr>
      <w:r w:rsidRPr="00264F65">
        <w:t xml:space="preserve">Aizsardzības ministrija vērš uzmanību, ka NATO informācija, kas apzīmēta kā </w:t>
      </w:r>
      <w:r w:rsidRPr="00264F65">
        <w:rPr>
          <w:i/>
        </w:rPr>
        <w:t>NATO UNCLASSIFIED</w:t>
      </w:r>
      <w:r w:rsidRPr="00264F65">
        <w:t xml:space="preserve"> nav brīvi pieejama un nav paredzēta publicēšanai interneta vidē. Ja tā notiek, kā norāda Latvijas Drošības un aizsardzības industriju federācija, tas ir pretrunā ar 2002. gada 11. jūlija NATO dokumentā C-M(2002)60 </w:t>
      </w:r>
      <w:r w:rsidRPr="00264F65">
        <w:rPr>
          <w:i/>
          <w:lang w:val="en-US"/>
        </w:rPr>
        <w:t>The Management of Non-Classified NATO Information</w:t>
      </w:r>
      <w:r w:rsidRPr="00264F65">
        <w:t xml:space="preserve"> noteikto.  </w:t>
      </w:r>
    </w:p>
    <w:p w:rsidR="00264F65" w:rsidRPr="00264F65" w:rsidP="00264F65" w14:paraId="2E2C6751" w14:textId="77777777">
      <w:pPr>
        <w:spacing w:after="0" w:line="240" w:lineRule="auto"/>
        <w:jc w:val="both"/>
      </w:pPr>
      <w:r w:rsidRPr="00264F65">
        <w:t xml:space="preserve">2004. gada 6. janvāra Ministru kabineta noteikumu Nr. 21 “Valsts noslēpuma, Ziemeļatlantijas līguma organizācijas, Eiropas Savienības un ārvalstu klasificētās informācijas aizsardzības noteikumi” (turpmāk – MK noteikumi Nr. 21) 1. punkts nosaka  “vienotu valsts noslēpuma, Ziemeļatlantijas līguma organizācijas (turpmāk – NATO), Eiropas Savienības un ārvalstu institūciju klasificētās informācijas aizsardzības režīmu valsts un pašvaldību institūcijās un sevišķās lietvedības kārtību, speciālo apzīmējumu un kodu lietošanas kārtību, kā arī slepenības režīma uzraudzības un dienesta izmeklēšanas kārtību”. </w:t>
      </w:r>
    </w:p>
    <w:p w:rsidR="00264F65" w:rsidRPr="00264F65" w:rsidP="00264F65" w14:paraId="788468B6" w14:textId="77777777">
      <w:pPr>
        <w:spacing w:after="0" w:line="240" w:lineRule="auto"/>
        <w:jc w:val="both"/>
      </w:pPr>
      <w:r w:rsidRPr="00264F65">
        <w:t xml:space="preserve">Minēto noteikumu 71. punkts nosaka, ka “Satversmes aizsardzības birojs izstrādā un Satversmes aizsardzības biroja direktors apstiprina instrukciju par NATO un Eiropas Savienības klasificētās informācijas apriti. Instrukcija detalizēti nosaka NATO un Eiropas Savienības klasificētās informācijas aizsardzību un aprites kārtību Latvijas Republikā. Savukārt 2006. gada 16. jūnija Satversmes aizsardzības biroja instrukcija “Ziemeļatlantijas līguma organizācijas klasificētās informācijas aizsardzības un aprites kārtība Latvijas Republikā” un 2006. gada 6. jūnija Satversmes aizsardzības biroja instrukcija “Eiropas Savienības klasificētās informācijas aizsardzības un aprites kārtība Latvijas Republikā” (turpmāk – SAB instrukcija) nosaka, ka </w:t>
      </w:r>
      <w:r w:rsidRPr="00264F65">
        <w:rPr>
          <w:i/>
        </w:rPr>
        <w:t>NATO RESTRICTED</w:t>
      </w:r>
      <w:r w:rsidRPr="00264F65">
        <w:t xml:space="preserve"> un </w:t>
      </w:r>
      <w:r w:rsidRPr="00264F65">
        <w:rPr>
          <w:i/>
        </w:rPr>
        <w:t>EU RESTRICTED/RESTREINT UE</w:t>
      </w:r>
      <w:r w:rsidRPr="00264F65">
        <w:t xml:space="preserve"> ir NATO un Eiropas Savienības informācijas klasifikācijas pakāpes. </w:t>
      </w:r>
    </w:p>
    <w:p w:rsidR="00264F65" w:rsidRPr="00264F65" w:rsidP="00264F65" w14:paraId="0AB2099A" w14:textId="77777777">
      <w:pPr>
        <w:spacing w:after="0" w:line="240" w:lineRule="auto"/>
        <w:ind w:firstLine="720"/>
        <w:jc w:val="both"/>
      </w:pPr>
      <w:r w:rsidRPr="00264F65">
        <w:t>Tādējādi Informācijas atklātības likuma 8.</w:t>
      </w:r>
      <w:r w:rsidRPr="00264F65">
        <w:rPr>
          <w:vertAlign w:val="superscript"/>
        </w:rPr>
        <w:t>1</w:t>
      </w:r>
      <w:r w:rsidRPr="00264F65">
        <w:t xml:space="preserve"> panta pirmās daļas 2. punkta formulējums nav korekts, jo šī nav informācija dienesta vajadzībām, bet gan NATO un ES klasificētā informācija, kuru aizsargā atbilstoši tam, kā Latvijā aizsargā informāciju dienesta vajadzībām. Turklāt informācijas sistēmas, kurā apstrādā </w:t>
      </w:r>
      <w:r w:rsidRPr="00264F65">
        <w:rPr>
          <w:i/>
        </w:rPr>
        <w:t>NATO RESTRICTED</w:t>
      </w:r>
      <w:r w:rsidRPr="00264F65">
        <w:t xml:space="preserve"> un </w:t>
      </w:r>
      <w:r w:rsidRPr="00264F65">
        <w:rPr>
          <w:i/>
        </w:rPr>
        <w:t xml:space="preserve">EU RESTRICTED/RESTREINT UE </w:t>
      </w:r>
      <w:r w:rsidRPr="00264F65">
        <w:t xml:space="preserve">klasificēto informāciju, drošības pārzinim ir attiecīgi nepieciešams NATO vai Eiropas Savienības drošības sertifikāts saskaņā ar 2012. gada 26. jūnija Ministru kabineta instrukciju Nr. 7 “Drošības prasības informācijas sistēmām, kurās apstrādā informāciju dienesta vajadzībām un kuras ir savienotas ar elektronisko sakaru tīklu”. Tātad varam secināt, ka MK noteikumi Nr. 21 būtu attiecināmi arī uz </w:t>
      </w:r>
      <w:r w:rsidRPr="00264F65">
        <w:rPr>
          <w:i/>
        </w:rPr>
        <w:t>NATO RESTRICTED</w:t>
      </w:r>
      <w:r w:rsidRPr="00264F65">
        <w:t xml:space="preserve"> un </w:t>
      </w:r>
      <w:r w:rsidRPr="00264F65">
        <w:rPr>
          <w:i/>
        </w:rPr>
        <w:t>EU RESTRICTED/RESTREINT UE</w:t>
      </w:r>
      <w:r w:rsidRPr="00264F65">
        <w:t xml:space="preserve"> informāciju. </w:t>
      </w:r>
    </w:p>
    <w:p w:rsidR="00264F65" w:rsidRPr="00264F65" w:rsidP="00264F65" w14:paraId="6B27199B" w14:textId="77777777">
      <w:pPr>
        <w:spacing w:after="0" w:line="240" w:lineRule="auto"/>
        <w:ind w:firstLine="720"/>
        <w:jc w:val="both"/>
      </w:pPr>
      <w:r w:rsidRPr="00264F65">
        <w:t xml:space="preserve">Informatīvajā ziņojumā gan informācijas dienesta vajadzībām, gan valsts noslēpuma aizsardzības pasākumi tiek vērtēti šauri, kā to paredz šobrīd spēkā esošo normatīvo aktu teksta redakcijas, nepieļaujot iespēju, ka normatīvie akti, kas nosaka valsts noslēpuma apriti un aizsardzības principus, ir grozāmi vai papildināmi. </w:t>
      </w:r>
    </w:p>
    <w:p w:rsidR="00264F65" w:rsidRPr="00264F65" w:rsidP="00264F65" w14:paraId="560E4625" w14:textId="77777777">
      <w:pPr>
        <w:spacing w:after="0" w:line="240" w:lineRule="auto"/>
        <w:ind w:firstLine="720"/>
        <w:jc w:val="both"/>
        <w:rPr>
          <w:i/>
        </w:rPr>
      </w:pPr>
      <w:r w:rsidRPr="00264F65">
        <w:t>Tādēļ Aizsardzības ministrijas ieskatā nav pamatots apgalvojums, ka informācijas dienesta vajadzībām iekļaušana likumā “Par valsts noslēpumu” apgrūtinātu un sarežģītu šā likuma piemērošanu praksē un būtu jānosaka stingrāki informācijas dienesta vajadzībām aprites nosacījumi, kuri jau šobrīd ir pietiekami stingri un atbilst prasībām, kuras no mums sagaida gan NATO, gan Eiropas Savienības partneri. Turklāt nekāda īpaša atļauja darbam ar informāciju dienesta vajadzībām nav nepieciešama. Izdarot grozījumus MK noteikumos Nr. 21, katrai klasifikācijas pakāpei var noteikt atšķirīgas aizsardzības prasības.</w:t>
      </w:r>
    </w:p>
    <w:p w:rsidR="00264F65" w:rsidRPr="00264F65" w:rsidP="00264F65" w14:paraId="7CA5D693" w14:textId="77777777">
      <w:pPr>
        <w:spacing w:after="0" w:line="240" w:lineRule="auto"/>
        <w:ind w:firstLine="720"/>
        <w:jc w:val="both"/>
      </w:pPr>
      <w:r w:rsidRPr="00264F65">
        <w:t xml:space="preserve">Informācija dienesta vajadzībām, konfidenciāla, slepena un sevišķi slepena informācija ir ar valsts drošību, aizsardzību, drošības politiku, militāro sadarbību saistīta informācija, tādējādi vienīgā robežšķirtne ir sekas, kādas var iestāties šādas informācijas nelikumīgas izpaušanas vai nozaudēšanas gadījumā. Iespējamības un seku izvērtējumu var veikt informācijas autors, pamatojoties uz savu pieredzi un zināšanām attiecīgajā jomā, tādēļ nav pārdomāts priekšlikums noteikt vienu kompetento institūciju, kura pieņemtu lēmumu par informācijas statusa piešķiršanu. </w:t>
      </w:r>
    </w:p>
    <w:p w:rsidR="00264F65" w:rsidRPr="00264F65" w:rsidP="00264F65" w14:paraId="0125BD24" w14:textId="77777777">
      <w:pPr>
        <w:spacing w:after="0" w:line="240" w:lineRule="auto"/>
        <w:ind w:firstLine="720"/>
        <w:jc w:val="both"/>
      </w:pPr>
      <w:r w:rsidRPr="00264F65">
        <w:t>Tāpat Aizsardzības ministrijai nav saprotams secinājums, ka daudzos gadījumos statuss dienesta vajadzībām ir noteikts nepamatoti.  Aizsardzības ministrija ir konstatējusi pretējo – nereti informācijas statuss “Dienesta vajadzībām” netiek noteikts, jo ierobežotas pieejamības informācijas aprites noteikumi nav tik strikti kā informācijas dienesta vajadzībām aprites noteikumi.</w:t>
      </w:r>
    </w:p>
    <w:p w:rsidR="00264F65" w:rsidRPr="00264F65" w:rsidP="00264F65" w14:paraId="1FD5CBBF" w14:textId="77777777">
      <w:pPr>
        <w:spacing w:after="0" w:line="240" w:lineRule="auto"/>
        <w:ind w:firstLine="720"/>
        <w:jc w:val="both"/>
      </w:pPr>
      <w:r w:rsidRPr="00264F65">
        <w:t xml:space="preserve">Pieredze rāda, ka starptautiskajās organizācijās, kuru dalībniece ir Latvija, klasificētā informācija un arī tāda, kas nav klasificēta, tiek nopietni vērtēta ar ievērojamu laika distanci, kas ir 30 gadi, pirms tā tiek publiskota. Taču tas neliedz vērtēšanu izdarīt arī ātrāk, ja rodas šāda nepieciešamība vai sabiedrības interese. Turklāt Arhīva likuma 13. panta otrās daļas 3. punkts nosaka, ka publiskajiem dokumentiem, kuri radīti vai saņemti valsts drošības iestādēs, Aizsardzības ministrijā, Ārlietu ministrijā, Iekšlietu ministrijā, Korupcijas novēršanas un apkarošanas birojā, Valsts prezidenta kancelejā, Valsts kancelejā vai tiek glabāti Latvijas Nacionālajā arhīvā un kuri satur ar nacionālo drošību, aizsardzību vai ārlietām saistītu informāciju, kuras atklāšana var radīt kaitējumu valsts vai sabiedrības interesēm, attiecīgās institūcijas vadītājs var noteikt vispārēju 30 gadus ilgu informācijas pieejamības ierobežojuma periodu, un tas atbilst starptautiskajai praksei. </w:t>
      </w:r>
    </w:p>
    <w:p w:rsidR="00264F65" w:rsidRPr="00264F65" w:rsidP="004837AD" w14:paraId="67F624AB" w14:textId="77777777">
      <w:pPr>
        <w:spacing w:after="0" w:line="240" w:lineRule="auto"/>
        <w:ind w:firstLine="720"/>
        <w:jc w:val="both"/>
      </w:pPr>
      <w:r w:rsidRPr="00264F65">
        <w:t>Aizsardzības ministrija piekrīt apgalvojumam, ka pastāv termina “informācija dienesta vajadzībām” nevienāda izpratne un nav skaidru kritēriju informācijas dienesta vajadzībām noteikšanai. Šo situāciju rada Informācijas atklātības likuma 5. panta otrajā daļā iekļautais 6. punkts. Tā, piemēram, Nacionālās drošības likuma 22.</w:t>
      </w:r>
      <w:r w:rsidRPr="00264F65">
        <w:rPr>
          <w:vertAlign w:val="superscript"/>
        </w:rPr>
        <w:t xml:space="preserve">2 </w:t>
      </w:r>
      <w:r w:rsidRPr="00264F65">
        <w:t xml:space="preserve">panta pirmā daļa nosaka, ka “kritiskā infrastruktūra ir Latvijas Republikā izvietotie objekti, sistēmas vai to daļas, kuras ir būtiskas sabiedrības funkciju īstenošanai, kā arī cilvēku veselības aizsardzības, drošības, ekonomiskās vai sociālās labklājības nodrošināšanai un kuru iznīcināšana vai darbības traucējumi </w:t>
      </w:r>
      <w:r w:rsidRPr="004837AD">
        <w:t>būtiski ietekmētu valsts funkciju īstenošanu</w:t>
      </w:r>
      <w:r w:rsidRPr="00264F65">
        <w:t>. Savukārt likuma 22.</w:t>
      </w:r>
      <w:r w:rsidRPr="00264F65">
        <w:rPr>
          <w:vertAlign w:val="superscript"/>
        </w:rPr>
        <w:t xml:space="preserve">2 </w:t>
      </w:r>
      <w:r w:rsidRPr="00264F65">
        <w:t xml:space="preserve">panta 4. daļa nosaka, ka “kritiskās infrastruktūras īpašnieks vai tiesiskais valdītājs nodrošina drošības pasākumu plānošanu un īstenošanu”, bet 5. daļa – “kritiskās infrastruktūras īpašnieks vai tiesiskais valdītājs iekšējiem drošības pasākumus reglamentējošiem dokumentiem nosaka ierobežotas pieejamības informācijas statusu”. </w:t>
      </w:r>
    </w:p>
    <w:p w:rsidR="00264F65" w:rsidRPr="00264F65" w:rsidP="004837AD" w14:paraId="68E9A7FF" w14:textId="77777777">
      <w:pPr>
        <w:spacing w:after="0" w:line="240" w:lineRule="auto"/>
        <w:ind w:firstLine="720"/>
        <w:jc w:val="both"/>
      </w:pPr>
      <w:r w:rsidRPr="00264F65">
        <w:t xml:space="preserve">Tā kā spēja īstenot valsts funkcijas ir saistīta ar valsts drošību, iekšējiem drošības pasākumus reglamentējošiem dokumentiem ir jābūt informācijai dienesta vajadzībām, nevis ierobežotas pieejamības informācijai. Tādēļ uz šiem dokumentiem attiecināt pieejamības ierobežojumu – viens gads – ir absurdi, jo jau sākotnēji ir skaidrs, ka tie nekad nebūs publiski pieejami. Tāpat pieredze rāda, ka ir arī dažādi, ar drošību un aizsardzības jautājumiem saistīti projekti un pasākumi, kuri norisinās vairāku gadu garumā, un informācijas statusa “Dienesta vajadzībām” atcelšana šo pasākumu ietvaros radītai informācijai būtu vērtējama kopumā tikai pēc tam, kad pasākums ir beidzies, nevis gada ietvaros katrai informācijas vienībai atsevišķi. </w:t>
      </w:r>
    </w:p>
    <w:p w:rsidR="00264F65" w:rsidRPr="00264F65" w:rsidP="004837AD" w14:paraId="66DECB22" w14:textId="77777777">
      <w:pPr>
        <w:spacing w:after="0" w:line="240" w:lineRule="auto"/>
        <w:ind w:firstLine="720"/>
        <w:jc w:val="both"/>
      </w:pPr>
      <w:r w:rsidRPr="00264F65">
        <w:t>Spēkā esošie normatīvie akti regulē tikai informācijas saņemšanu un nosūtīšanu, taču iestādē tiek sagatavoti ne tikai sarakstes dokumenti, bet arī organizatoriskie dokumenti, rīkojuma dokumenti, dienesta ziņojumi u. tml. Realitātē informācijas pārskatīšanas un izvērtēšanas process ir ļoti darbietilpīgs, un to  nav iespējams kvalitatīvi izpildīt, paralēli kārtojot ikdienas lietvedību. Tādējādi, lai nodrošinātu reāli izpildāmu, nevis formālu iestādes rīcībā esošās informācijas izvērtēšanu, būtu nepieciešams veidot saprotamu un loģisku klasificēto dokumentu pārvaldības sistēmu.</w:t>
      </w:r>
    </w:p>
    <w:p w:rsidR="00104688" w:rsidP="00104688" w14:paraId="12F168FD" w14:textId="77777777">
      <w:pPr>
        <w:spacing w:after="0" w:line="240" w:lineRule="auto"/>
        <w:jc w:val="both"/>
      </w:pPr>
    </w:p>
    <w:p w:rsidR="00104688" w:rsidP="00104688" w14:paraId="12F168FE" w14:textId="77777777">
      <w:pPr>
        <w:spacing w:after="0" w:line="240" w:lineRule="auto"/>
        <w:jc w:val="both"/>
      </w:pPr>
      <w:bookmarkStart w:id="0" w:name="_GoBack"/>
      <w:bookmarkEnd w:id="0"/>
    </w:p>
    <w:p w:rsidR="000F716B" w:rsidP="00104688" w14:paraId="12F168FF" w14:textId="77777777">
      <w:pPr>
        <w:tabs>
          <w:tab w:val="left" w:pos="6663"/>
        </w:tabs>
        <w:spacing w:after="0" w:line="240" w:lineRule="auto"/>
        <w:jc w:val="both"/>
      </w:pPr>
    </w:p>
    <w:p w:rsidR="007A2264" w:rsidP="000F716B" w14:paraId="12F16900" w14:textId="77777777">
      <w:pPr>
        <w:tabs>
          <w:tab w:val="left" w:pos="6663"/>
        </w:tabs>
        <w:spacing w:after="0"/>
        <w:jc w:val="both"/>
      </w:pPr>
      <w:r>
        <w:rPr>
          <w:noProof/>
        </w:rPr>
        <w:t>Valsts sekretārs</w:t>
      </w:r>
      <w:r>
        <w:tab/>
      </w:r>
      <w:r>
        <w:rPr>
          <w:noProof/>
        </w:rPr>
        <w:t>Jānis Garisons</w:t>
      </w:r>
    </w:p>
    <w:p w:rsidR="007A2264" w:rsidP="007A2264" w14:paraId="12F16901" w14:textId="77777777">
      <w:pPr>
        <w:spacing w:before="720" w:after="0" w:line="240" w:lineRule="auto"/>
        <w:jc w:val="both"/>
        <w:rPr>
          <w:sz w:val="16"/>
          <w:szCs w:val="16"/>
        </w:rPr>
      </w:pPr>
      <w:r>
        <w:rPr>
          <w:noProof/>
          <w:sz w:val="16"/>
          <w:szCs w:val="16"/>
        </w:rPr>
        <w:t>Elvīra Šmukste</w:t>
      </w:r>
      <w:r>
        <w:rPr>
          <w:sz w:val="16"/>
          <w:szCs w:val="16"/>
        </w:rPr>
        <w:t xml:space="preserve">, </w:t>
      </w:r>
      <w:r>
        <w:rPr>
          <w:noProof/>
          <w:sz w:val="16"/>
          <w:szCs w:val="16"/>
        </w:rPr>
        <w:t>67335298</w:t>
      </w:r>
    </w:p>
    <w:p w:rsidR="00104688" w:rsidRPr="00104688" w:rsidP="00104688" w14:paraId="12F16902" w14:textId="77777777">
      <w:pPr>
        <w:spacing w:after="0" w:line="240" w:lineRule="auto"/>
        <w:jc w:val="both"/>
        <w:rPr>
          <w:sz w:val="16"/>
          <w:szCs w:val="16"/>
        </w:rPr>
      </w:pPr>
      <w:r>
        <w:rPr>
          <w:noProof/>
          <w:sz w:val="16"/>
          <w:szCs w:val="16"/>
        </w:rPr>
        <w:t>elvira.smukste@mod.gov.lv</w:t>
      </w:r>
    </w:p>
    <w:sectPr w:rsidSect="00330D43">
      <w:footerReference w:type="default" r:id="rId4"/>
      <w:headerReference w:type="first" r:id="rId5"/>
      <w:footerReference w:type="first" r:id="rId6"/>
      <w:type w:val="continuous"/>
      <w:pgSz w:w="11920" w:h="16840"/>
      <w:pgMar w:top="1134" w:right="851" w:bottom="1134" w:left="1701" w:header="709" w:footer="709" w:gutter="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Verdana">
    <w:panose1 w:val="020B0604030504040204"/>
    <w:charset w:val="BA"/>
    <w:family w:val="swiss"/>
    <w:pitch w:val="variable"/>
    <w:sig w:usb0="A1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TimesNewRomanPS-ItalicMT">
    <w:altName w:val="Times New Roman"/>
    <w:charset w:val="00"/>
    <w:family w:val="auto"/>
    <w:pitch w:val="default"/>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88512165"/>
      <w:docPartObj>
        <w:docPartGallery w:val="Page Numbers (Bottom of Page)"/>
        <w:docPartUnique/>
      </w:docPartObj>
    </w:sdtPr>
    <w:sdtContent>
      <w:p w:rsidR="00104688" w:rsidP="00104688" w14:paraId="12F16903" w14:textId="77777777">
        <w:pPr>
          <w:pStyle w:val="Footer"/>
          <w:jc w:val="center"/>
        </w:pPr>
        <w:r w:rsidRPr="002D7FAB">
          <w:rPr>
            <w:rFonts w:ascii="TimesNewRomanPS-ItalicMT" w:hAnsi="TimesNewRomanPS-ItalicMT"/>
            <w:iCs/>
            <w:sz w:val="20"/>
            <w:szCs w:val="20"/>
          </w:rPr>
          <w:t>DOKUMENTS IR ELEKTRONISKI PARAKSTĪTS AR DROŠU ELEKTRONISKO PARAKSTU UN SATUR LAIKA ZĪMOGU</w:t>
        </w:r>
      </w:p>
      <w:p w:rsidR="00104688" w:rsidRPr="00104688" w:rsidP="00104688" w14:paraId="12F16904" w14:textId="49BB1FA1">
        <w:pPr>
          <w:pStyle w:val="Footer"/>
          <w:jc w:val="right"/>
          <w:rPr>
            <w:bCs/>
          </w:rPr>
        </w:pPr>
        <w:sdt>
          <w:sdtPr>
            <w:id w:val="1370980107"/>
            <w:docPartObj>
              <w:docPartGallery w:val="Page Numbers (Top of Page)"/>
              <w:docPartUnique/>
            </w:docPartObj>
          </w:sdtPr>
          <w:sdtContent>
            <w:r w:rsidRPr="00104688">
              <w:rPr>
                <w:bCs/>
              </w:rPr>
              <w:fldChar w:fldCharType="begin"/>
            </w:r>
            <w:r w:rsidRPr="00104688">
              <w:rPr>
                <w:bCs/>
              </w:rPr>
              <w:instrText xml:space="preserve"> PAGE </w:instrText>
            </w:r>
            <w:r w:rsidRPr="00104688">
              <w:rPr>
                <w:bCs/>
              </w:rPr>
              <w:fldChar w:fldCharType="separate"/>
            </w:r>
            <w:r w:rsidRPr="00104688">
              <w:rPr>
                <w:bCs/>
              </w:rPr>
              <w:t>3</w:t>
            </w:r>
            <w:r w:rsidRPr="00104688">
              <w:rPr>
                <w:bCs/>
              </w:rPr>
              <w:fldChar w:fldCharType="end"/>
            </w:r>
            <w:r w:rsidRPr="00104688">
              <w:t xml:space="preserve"> - </w:t>
            </w:r>
            <w:r w:rsidRPr="00104688">
              <w:rPr>
                <w:bCs/>
              </w:rPr>
              <w:fldChar w:fldCharType="begin"/>
            </w:r>
            <w:r w:rsidRPr="00104688">
              <w:rPr>
                <w:bCs/>
              </w:rPr>
              <w:instrText xml:space="preserve"> NUMPAGES  </w:instrText>
            </w:r>
            <w:r w:rsidRPr="00104688">
              <w:rPr>
                <w:bCs/>
              </w:rPr>
              <w:fldChar w:fldCharType="separate"/>
            </w:r>
            <w:r w:rsidRPr="00104688">
              <w:rPr>
                <w:bCs/>
              </w:rPr>
              <w:t>3</w:t>
            </w:r>
            <w:r w:rsidRPr="00104688">
              <w:rPr>
                <w:bCs/>
              </w:rPr>
              <w:fldChar w:fldCharType="end"/>
            </w:r>
          </w:sdtContent>
        </w:sdt>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5D2424" w:rsidP="00E330D3" w14:paraId="12F1690A" w14:textId="77777777">
    <w:pPr>
      <w:pStyle w:val="Footer"/>
      <w:jc w:val="center"/>
    </w:pPr>
    <w:r w:rsidRPr="002D7FAB">
      <w:rPr>
        <w:rFonts w:ascii="TimesNewRomanPS-ItalicMT" w:hAnsi="TimesNewRomanPS-ItalicMT"/>
        <w:iCs/>
        <w:sz w:val="20"/>
        <w:szCs w:val="20"/>
      </w:rPr>
      <w:t xml:space="preserve">DOKUMENTS IR </w:t>
    </w:r>
    <w:r w:rsidRPr="002D7FAB">
      <w:rPr>
        <w:rFonts w:ascii="TimesNewRomanPS-ItalicMT" w:hAnsi="TimesNewRomanPS-ItalicMT"/>
        <w:iCs/>
        <w:sz w:val="20"/>
        <w:szCs w:val="20"/>
      </w:rPr>
      <w:t>ELEKTRONISKI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0A0B61" w:rsidP="00BE56C2" w14:paraId="12F16905" w14:textId="77777777">
    <w:pPr>
      <w:pStyle w:val="Header"/>
      <w:tabs>
        <w:tab w:val="clear" w:pos="4320"/>
      </w:tabs>
      <w:spacing w:before="2880"/>
    </w:pPr>
  </w:p>
  <w:tbl>
    <w:tblPr>
      <w:tblW w:w="7796" w:type="dxa"/>
      <w:tblInd w:w="108" w:type="dxa"/>
      <w:tblLayout w:type="fixed"/>
      <w:tblLook w:val="0000"/>
    </w:tblPr>
    <w:tblGrid>
      <w:gridCol w:w="3969"/>
      <w:gridCol w:w="3827"/>
    </w:tblGrid>
    <w:tr w14:paraId="12F16908" w14:textId="77777777" w:rsidTr="00DD3458">
      <w:tblPrEx>
        <w:tblW w:w="7796" w:type="dxa"/>
        <w:tblInd w:w="108" w:type="dxa"/>
        <w:tblLayout w:type="fixed"/>
        <w:tblLook w:val="0000"/>
      </w:tblPrEx>
      <w:trPr>
        <w:cantSplit/>
      </w:trPr>
      <w:tc>
        <w:tcPr>
          <w:tcW w:w="3969" w:type="dxa"/>
        </w:tcPr>
        <w:p w:rsidR="009C426E" w:rsidRPr="00C56EDF" w:rsidP="00DD3458" w14:paraId="12F16906" w14:textId="77777777">
          <w:pPr>
            <w:pStyle w:val="Header"/>
            <w:tabs>
              <w:tab w:val="clear" w:pos="4320"/>
            </w:tabs>
            <w:spacing w:before="120"/>
            <w:rPr>
              <w:color w:val="000000"/>
              <w:lang w:eastAsia="en-US"/>
            </w:rPr>
          </w:pPr>
          <w:r w:rsidRPr="00C56EDF">
            <w:rPr>
              <w:color w:val="000000"/>
              <w:lang w:eastAsia="en-US"/>
            </w:rPr>
            <w:t>Rīgā,</w:t>
          </w:r>
          <w:r w:rsidRPr="00C56EDF">
            <w:t xml:space="preserve"> </w:t>
          </w:r>
          <w:r w:rsidRPr="00C56EDF">
            <w:rPr>
              <w:color w:val="000000"/>
              <w:lang w:eastAsia="en-US"/>
            </w:rPr>
            <w:t xml:space="preserve">dokumenta datums ir tā elektroniskās parakstīšanas </w:t>
          </w:r>
          <w:r w:rsidRPr="00C56EDF">
            <w:rPr>
              <w:color w:val="000000"/>
              <w:lang w:eastAsia="en-US"/>
            </w:rPr>
            <w:t>datums.</w:t>
          </w:r>
        </w:p>
      </w:tc>
      <w:tc>
        <w:tcPr>
          <w:tcW w:w="3827" w:type="dxa"/>
        </w:tcPr>
        <w:p w:rsidR="009C426E" w:rsidRPr="0099125D" w:rsidP="00DD3458" w14:paraId="12F16907" w14:textId="77777777">
          <w:pPr>
            <w:pStyle w:val="Header"/>
            <w:tabs>
              <w:tab w:val="clear" w:pos="4320"/>
            </w:tabs>
            <w:spacing w:before="120"/>
            <w:rPr>
              <w:color w:val="000000"/>
              <w:lang w:val="en-US" w:eastAsia="en-US"/>
            </w:rPr>
          </w:pPr>
          <w:r>
            <w:rPr>
              <w:color w:val="000000"/>
              <w:lang w:val="en-US" w:eastAsia="en-US"/>
            </w:rPr>
            <w:t xml:space="preserve">Nr. </w:t>
          </w:r>
          <w:r>
            <w:rPr>
              <w:noProof/>
              <w:color w:val="000000"/>
              <w:lang w:val="en-US" w:eastAsia="en-US"/>
            </w:rPr>
            <w:t>MV-N/1077</w:t>
          </w:r>
        </w:p>
      </w:tc>
    </w:tr>
  </w:tbl>
  <w:p w:rsidR="009C426E" w:rsidRPr="008669E5" w:rsidP="009C426E" w14:paraId="12F16909" w14:textId="77777777">
    <w:pPr>
      <w:pStyle w:val="Header"/>
      <w:tabs>
        <w:tab w:val="left" w:pos="4111"/>
        <w:tab w:val="clear" w:pos="4320"/>
      </w:tabs>
      <w:spacing w:before="120"/>
    </w:pPr>
    <w:r w:rsidRPr="008669E5">
      <w:rPr>
        <w:noProof/>
      </w:rPr>
      <w:drawing>
        <wp:anchor distT="0" distB="0" distL="114300" distR="114300" simplePos="0" relativeHeight="251658240" behindDoc="1" locked="0" layoutInCell="1" allowOverlap="1">
          <wp:simplePos x="0" y="0"/>
          <wp:positionH relativeFrom="page">
            <wp:posOffset>1094740</wp:posOffset>
          </wp:positionH>
          <wp:positionV relativeFrom="page">
            <wp:posOffset>647700</wp:posOffset>
          </wp:positionV>
          <wp:extent cx="5936615" cy="1033145"/>
          <wp:effectExtent l="0" t="0" r="6985" b="0"/>
          <wp:wrapNone/>
          <wp:docPr id="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253297" name="Picture 40"/>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936615"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sidRPr="008669E5">
      <w:rPr>
        <w:noProof/>
      </w:rPr>
      <mc:AlternateContent>
        <mc:Choice Requires="wps">
          <w:drawing>
            <wp:anchor distT="0" distB="0" distL="114300" distR="114300" simplePos="0" relativeHeight="251661312" behindDoc="1" locked="0" layoutInCell="1" allowOverlap="1">
              <wp:simplePos x="0" y="0"/>
              <wp:positionH relativeFrom="page">
                <wp:posOffset>1171575</wp:posOffset>
              </wp:positionH>
              <wp:positionV relativeFrom="page">
                <wp:posOffset>2049780</wp:posOffset>
              </wp:positionV>
              <wp:extent cx="5838825" cy="314325"/>
              <wp:effectExtent l="0" t="0" r="9525" b="9525"/>
              <wp:wrapNone/>
              <wp:docPr id="3" name="Text Box 43"/>
              <wp:cNvGraphicFramePr/>
              <a:graphic xmlns:a="http://schemas.openxmlformats.org/drawingml/2006/main">
                <a:graphicData uri="http://schemas.microsoft.com/office/word/2010/wordprocessingShape">
                  <wps:wsp xmlns:wps="http://schemas.microsoft.com/office/word/2010/wordprocessingShape">
                    <wps:cNvSpPr txBox="1">
                      <a:spLocks noChangeArrowheads="1"/>
                    </wps:cNvSpPr>
                    <wps:spPr bwMode="auto">
                      <a:xfrm>
                        <a:off x="0" y="0"/>
                        <a:ext cx="5838825" cy="314325"/>
                      </a:xfrm>
                      <a:prstGeom prst="rect">
                        <a:avLst/>
                      </a:prstGeom>
                      <a:noFill/>
                      <a:ln>
                        <a:noFill/>
                      </a:ln>
                      <a:extLst>
                        <a:ext xmlns:a="http://schemas.openxmlformats.org/drawingml/2006/main" uri="{909E8E84-426E-40DD-AFC4-6F175D3DCCD1}">
                          <a14:hiddenFill xmlns:a14="http://schemas.microsoft.com/office/drawing/2010/main">
                            <a:solidFill>
                              <a:srgbClr val="FFFFFF"/>
                            </a:solidFill>
                          </a14:hiddenFill>
                        </a:ext>
                        <a:ext xmlns:a="http://schemas.openxmlformats.org/drawingml/2006/main" uri="{91240B29-F687-4F45-9708-019B960494DF}">
                          <a14:hiddenLine xmlns:a14="http://schemas.microsoft.com/office/drawing/2010/main" w="9525">
                            <a:solidFill>
                              <a:srgbClr val="000000"/>
                            </a:solidFill>
                            <a:miter lim="800000"/>
                            <a:headEnd/>
                            <a:tailEnd/>
                          </a14:hiddenLine>
                        </a:ext>
                      </a:extLst>
                    </wps:spPr>
                    <wps:txbx>
                      <w:txbxContent>
                        <w:p w:rsidR="009A40B4" w:rsidRPr="008669E5" w:rsidP="009A40B4" w14:textId="77777777">
                          <w:pPr>
                            <w:spacing w:after="0" w:line="194" w:lineRule="exact"/>
                            <w:ind w:left="20" w:right="-45"/>
                            <w:jc w:val="center"/>
                            <w:rPr>
                              <w:rFonts w:eastAsia="Times New Roman"/>
                              <w:sz w:val="17"/>
                              <w:szCs w:val="17"/>
                            </w:rPr>
                          </w:pPr>
                          <w:r w:rsidRPr="008669E5">
                            <w:rPr>
                              <w:rFonts w:eastAsia="Times New Roman"/>
                              <w:color w:val="231F20"/>
                              <w:sz w:val="17"/>
                              <w:szCs w:val="17"/>
                            </w:rPr>
                            <w:t>K. Vald</w:t>
                          </w:r>
                          <w:r w:rsidR="00242216">
                            <w:rPr>
                              <w:rFonts w:eastAsia="Times New Roman"/>
                              <w:color w:val="231F20"/>
                              <w:sz w:val="17"/>
                              <w:szCs w:val="17"/>
                            </w:rPr>
                            <w:t>emāra iela 10/12, Rīga, LV-1473;</w:t>
                          </w:r>
                          <w:r w:rsidRPr="008669E5">
                            <w:rPr>
                              <w:rFonts w:eastAsia="Times New Roman"/>
                              <w:color w:val="231F20"/>
                              <w:sz w:val="17"/>
                              <w:szCs w:val="17"/>
                            </w:rPr>
                            <w:t xml:space="preserve"> tālr.</w:t>
                          </w:r>
                          <w:r w:rsidR="00242216">
                            <w:rPr>
                              <w:rFonts w:eastAsia="Times New Roman"/>
                              <w:color w:val="231F20"/>
                              <w:sz w:val="17"/>
                              <w:szCs w:val="17"/>
                            </w:rPr>
                            <w:t>:</w:t>
                          </w:r>
                          <w:r w:rsidRPr="008669E5">
                            <w:rPr>
                              <w:rFonts w:eastAsia="Times New Roman"/>
                              <w:color w:val="231F20"/>
                              <w:sz w:val="17"/>
                              <w:szCs w:val="17"/>
                            </w:rPr>
                            <w:t xml:space="preserve"> 67210124</w:t>
                          </w:r>
                          <w:r w:rsidR="00242216">
                            <w:rPr>
                              <w:rFonts w:eastAsia="Times New Roman"/>
                              <w:color w:val="231F20"/>
                              <w:sz w:val="17"/>
                              <w:szCs w:val="17"/>
                            </w:rPr>
                            <w:t>;</w:t>
                          </w:r>
                          <w:r w:rsidRPr="008669E5">
                            <w:rPr>
                              <w:rFonts w:eastAsia="Times New Roman"/>
                              <w:color w:val="231F20"/>
                              <w:sz w:val="17"/>
                              <w:szCs w:val="17"/>
                            </w:rPr>
                            <w:t xml:space="preserve"> fakss</w:t>
                          </w:r>
                          <w:r w:rsidR="00242216">
                            <w:rPr>
                              <w:rFonts w:eastAsia="Times New Roman"/>
                              <w:color w:val="231F20"/>
                              <w:sz w:val="17"/>
                              <w:szCs w:val="17"/>
                            </w:rPr>
                            <w:t>:</w:t>
                          </w:r>
                          <w:r w:rsidRPr="008669E5">
                            <w:rPr>
                              <w:rFonts w:eastAsia="Times New Roman"/>
                              <w:color w:val="231F20"/>
                              <w:sz w:val="17"/>
                              <w:szCs w:val="17"/>
                            </w:rPr>
                            <w:t xml:space="preserve"> 67212307</w:t>
                          </w:r>
                          <w:r w:rsidR="00242216">
                            <w:rPr>
                              <w:rFonts w:eastAsia="Times New Roman"/>
                              <w:color w:val="231F20"/>
                              <w:sz w:val="17"/>
                              <w:szCs w:val="17"/>
                            </w:rPr>
                            <w:t>;</w:t>
                          </w:r>
                          <w:r w:rsidRPr="008669E5">
                            <w:rPr>
                              <w:rFonts w:eastAsia="Times New Roman"/>
                              <w:color w:val="231F20"/>
                              <w:sz w:val="17"/>
                              <w:szCs w:val="17"/>
                            </w:rPr>
                            <w:t xml:space="preserve"> e-pasts</w:t>
                          </w:r>
                          <w:r w:rsidR="00242216">
                            <w:rPr>
                              <w:rFonts w:eastAsia="Times New Roman"/>
                              <w:color w:val="231F20"/>
                              <w:sz w:val="17"/>
                              <w:szCs w:val="17"/>
                            </w:rPr>
                            <w:t>:</w:t>
                          </w:r>
                          <w:r w:rsidRPr="008669E5">
                            <w:rPr>
                              <w:rFonts w:eastAsia="Times New Roman"/>
                              <w:color w:val="231F20"/>
                              <w:sz w:val="17"/>
                              <w:szCs w:val="17"/>
                            </w:rPr>
                            <w:t xml:space="preserve"> kanceleja@mod.gov.lv</w:t>
                          </w:r>
                          <w:r w:rsidR="00242216">
                            <w:rPr>
                              <w:rFonts w:eastAsia="Times New Roman"/>
                              <w:color w:val="231F20"/>
                              <w:sz w:val="17"/>
                              <w:szCs w:val="17"/>
                            </w:rPr>
                            <w:t>;</w:t>
                          </w:r>
                          <w:r w:rsidRPr="008669E5">
                            <w:rPr>
                              <w:rFonts w:eastAsia="Times New Roman"/>
                              <w:color w:val="231F20"/>
                              <w:sz w:val="17"/>
                              <w:szCs w:val="17"/>
                            </w:rPr>
                            <w:t xml:space="preserve"> www.mod.gov.lv</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3" o:spid="_x0000_s2049" type="#_x0000_t202" style="width:459.75pt;height:24.75pt;margin-top:161.4pt;margin-left:92.2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54144" filled="f" stroked="f">
              <v:textbox inset="0,0,0,0">
                <w:txbxContent>
                  <w:p w:rsidR="009A40B4" w:rsidRPr="008669E5" w:rsidP="009A40B4" w14:paraId="12F16911" w14:textId="77777777">
                    <w:pPr>
                      <w:spacing w:after="0" w:line="194" w:lineRule="exact"/>
                      <w:ind w:left="20" w:right="-45"/>
                      <w:jc w:val="center"/>
                      <w:rPr>
                        <w:rFonts w:eastAsia="Times New Roman"/>
                        <w:sz w:val="17"/>
                        <w:szCs w:val="17"/>
                      </w:rPr>
                    </w:pPr>
                    <w:r w:rsidRPr="008669E5">
                      <w:rPr>
                        <w:rFonts w:eastAsia="Times New Roman"/>
                        <w:color w:val="231F20"/>
                        <w:sz w:val="17"/>
                        <w:szCs w:val="17"/>
                      </w:rPr>
                      <w:t>K. Vald</w:t>
                    </w:r>
                    <w:r w:rsidR="00242216">
                      <w:rPr>
                        <w:rFonts w:eastAsia="Times New Roman"/>
                        <w:color w:val="231F20"/>
                        <w:sz w:val="17"/>
                        <w:szCs w:val="17"/>
                      </w:rPr>
                      <w:t>emāra iela 10/12, Rīga, LV-1473;</w:t>
                    </w:r>
                    <w:r w:rsidRPr="008669E5">
                      <w:rPr>
                        <w:rFonts w:eastAsia="Times New Roman"/>
                        <w:color w:val="231F20"/>
                        <w:sz w:val="17"/>
                        <w:szCs w:val="17"/>
                      </w:rPr>
                      <w:t xml:space="preserve"> tālr.</w:t>
                    </w:r>
                    <w:r w:rsidR="00242216">
                      <w:rPr>
                        <w:rFonts w:eastAsia="Times New Roman"/>
                        <w:color w:val="231F20"/>
                        <w:sz w:val="17"/>
                        <w:szCs w:val="17"/>
                      </w:rPr>
                      <w:t>:</w:t>
                    </w:r>
                    <w:r w:rsidRPr="008669E5">
                      <w:rPr>
                        <w:rFonts w:eastAsia="Times New Roman"/>
                        <w:color w:val="231F20"/>
                        <w:sz w:val="17"/>
                        <w:szCs w:val="17"/>
                      </w:rPr>
                      <w:t xml:space="preserve"> 67210124</w:t>
                    </w:r>
                    <w:r w:rsidR="00242216">
                      <w:rPr>
                        <w:rFonts w:eastAsia="Times New Roman"/>
                        <w:color w:val="231F20"/>
                        <w:sz w:val="17"/>
                        <w:szCs w:val="17"/>
                      </w:rPr>
                      <w:t>;</w:t>
                    </w:r>
                    <w:r w:rsidRPr="008669E5">
                      <w:rPr>
                        <w:rFonts w:eastAsia="Times New Roman"/>
                        <w:color w:val="231F20"/>
                        <w:sz w:val="17"/>
                        <w:szCs w:val="17"/>
                      </w:rPr>
                      <w:t xml:space="preserve"> fakss</w:t>
                    </w:r>
                    <w:r w:rsidR="00242216">
                      <w:rPr>
                        <w:rFonts w:eastAsia="Times New Roman"/>
                        <w:color w:val="231F20"/>
                        <w:sz w:val="17"/>
                        <w:szCs w:val="17"/>
                      </w:rPr>
                      <w:t>:</w:t>
                    </w:r>
                    <w:r w:rsidRPr="008669E5">
                      <w:rPr>
                        <w:rFonts w:eastAsia="Times New Roman"/>
                        <w:color w:val="231F20"/>
                        <w:sz w:val="17"/>
                        <w:szCs w:val="17"/>
                      </w:rPr>
                      <w:t xml:space="preserve"> 67212307</w:t>
                    </w:r>
                    <w:r w:rsidR="00242216">
                      <w:rPr>
                        <w:rFonts w:eastAsia="Times New Roman"/>
                        <w:color w:val="231F20"/>
                        <w:sz w:val="17"/>
                        <w:szCs w:val="17"/>
                      </w:rPr>
                      <w:t>;</w:t>
                    </w:r>
                    <w:r w:rsidRPr="008669E5">
                      <w:rPr>
                        <w:rFonts w:eastAsia="Times New Roman"/>
                        <w:color w:val="231F20"/>
                        <w:sz w:val="17"/>
                        <w:szCs w:val="17"/>
                      </w:rPr>
                      <w:t xml:space="preserve"> e-pasts</w:t>
                    </w:r>
                    <w:r w:rsidR="00242216">
                      <w:rPr>
                        <w:rFonts w:eastAsia="Times New Roman"/>
                        <w:color w:val="231F20"/>
                        <w:sz w:val="17"/>
                        <w:szCs w:val="17"/>
                      </w:rPr>
                      <w:t>:</w:t>
                    </w:r>
                    <w:r w:rsidRPr="008669E5">
                      <w:rPr>
                        <w:rFonts w:eastAsia="Times New Roman"/>
                        <w:color w:val="231F20"/>
                        <w:sz w:val="17"/>
                        <w:szCs w:val="17"/>
                      </w:rPr>
                      <w:t xml:space="preserve"> kanceleja@mod.gov.lv</w:t>
                    </w:r>
                    <w:r w:rsidR="00242216">
                      <w:rPr>
                        <w:rFonts w:eastAsia="Times New Roman"/>
                        <w:color w:val="231F20"/>
                        <w:sz w:val="17"/>
                        <w:szCs w:val="17"/>
                      </w:rPr>
                      <w:t>;</w:t>
                    </w:r>
                    <w:r w:rsidRPr="008669E5">
                      <w:rPr>
                        <w:rFonts w:eastAsia="Times New Roman"/>
                        <w:color w:val="231F20"/>
                        <w:sz w:val="17"/>
                        <w:szCs w:val="17"/>
                      </w:rPr>
                      <w:t xml:space="preserve"> www.mod.gov.lv</w:t>
                    </w:r>
                  </w:p>
                </w:txbxContent>
              </v:textbox>
            </v:shape>
          </w:pict>
        </mc:Fallback>
      </mc:AlternateContent>
    </w:r>
    <w:r w:rsidRPr="008669E5">
      <w:rPr>
        <w:noProof/>
      </w:rPr>
      <mc:AlternateContent>
        <mc:Choice Requires="wpg">
          <w:drawing>
            <wp:anchor distT="0" distB="0" distL="114300" distR="114300" simplePos="0" relativeHeight="251659264" behindDoc="1" locked="0" layoutInCell="1" allowOverlap="1">
              <wp:simplePos x="0" y="0"/>
              <wp:positionH relativeFrom="page">
                <wp:posOffset>1850390</wp:posOffset>
              </wp:positionH>
              <wp:positionV relativeFrom="page">
                <wp:posOffset>1903095</wp:posOffset>
              </wp:positionV>
              <wp:extent cx="4397375" cy="1270"/>
              <wp:effectExtent l="0" t="0" r="22225" b="17780"/>
              <wp:wrapNone/>
              <wp:docPr id="1" name="Group 41"/>
              <wp:cNvGraphicFramePr/>
              <a:graphic xmlns:a="http://schemas.openxmlformats.org/drawingml/2006/main">
                <a:graphicData uri="http://schemas.microsoft.com/office/word/2010/wordprocessingGroup">
                  <wpg:wgp xmlns:wpg="http://schemas.microsoft.com/office/word/2010/wordprocessingGroup">
                    <wpg:cNvGrpSpPr/>
                    <wpg:grpSpPr>
                      <a:xfrm>
                        <a:off x="0" y="0"/>
                        <a:ext cx="4397375" cy="1270"/>
                        <a:chOff x="2915" y="2998"/>
                        <a:chExt cx="6926" cy="2"/>
                      </a:xfrm>
                    </wpg:grpSpPr>
                    <wps:wsp xmlns:wps="http://schemas.microsoft.com/office/word/2010/wordprocessingShape">
                      <wps:cNvPr id="2" name="Freeform 42"/>
                      <wps:cNvSpPr/>
                      <wps:spPr bwMode="auto">
                        <a:xfrm>
                          <a:off x="2915" y="2998"/>
                          <a:ext cx="6926" cy="2"/>
                        </a:xfrm>
                        <a:custGeom>
                          <a:avLst/>
                          <a:gdLst>
                            <a:gd name="T0" fmla="+- 0 2915 2915"/>
                            <a:gd name="T1" fmla="*/ T0 w 6926"/>
                            <a:gd name="T2" fmla="+- 0 9841 2915"/>
                            <a:gd name="T3" fmla="*/ T2 w 6926"/>
                          </a:gdLst>
                          <a:cxnLst>
                            <a:cxn ang="0">
                              <a:pos x="T1" y="0"/>
                            </a:cxn>
                            <a:cxn ang="0">
                              <a:pos x="T3" y="0"/>
                            </a:cxn>
                          </a:cxnLst>
                          <a:rect l="0" t="0" r="r" b="b"/>
                          <a:pathLst>
                            <a:path fill="norm" w="6926" stroke="1">
                              <a:moveTo>
                                <a:pt x="0" y="0"/>
                              </a:moveTo>
                              <a:lnTo>
                                <a:pt x="6926" y="0"/>
                              </a:lnTo>
                            </a:path>
                          </a:pathLst>
                        </a:custGeom>
                        <a:noFill/>
                        <a:ln w="3175">
                          <a:solidFill>
                            <a:srgbClr val="231F20"/>
                          </a:solidFill>
                          <a:round/>
                          <a:headEnd/>
                          <a:tailEnd/>
                        </a:ln>
                        <a:extLst>
                          <a:ext xmlns:a="http://schemas.openxmlformats.org/drawingml/2006/main" uri="{909E8E84-426E-40DD-AFC4-6F175D3DCCD1}">
                            <a14:hiddenFill xmlns:a14="http://schemas.microsoft.com/office/drawing/2010/main">
                              <a:solidFill>
                                <a:srgbClr val="FFFFFF"/>
                              </a:solidFill>
                            </a14:hiddenFill>
                          </a:ext>
                        </a:extLst>
                      </wps:spPr>
                      <wps:bodyPr rot="0" vert="horz" wrap="square" anchor="t" anchorCtr="0" upright="1"/>
                    </wps:wsp>
                  </wpg:wgp>
                </a:graphicData>
              </a:graphic>
              <wp14:sizeRelH relativeFrom="page">
                <wp14:pctWidth>0</wp14:pctWidth>
              </wp14:sizeRelH>
              <wp14:sizeRelV relativeFrom="page">
                <wp14:pctHeight>0</wp14:pctHeight>
              </wp14:sizeRelV>
            </wp:anchor>
          </w:drawing>
        </mc:Choice>
        <mc:Fallback>
          <w:pict>
            <v:group id="Group 41" o:spid="_x0000_s2050" style="width:346.25pt;height:0.1pt;margin-top:149.85pt;margin-left:145.7pt;mso-position-horizontal-relative:page;mso-position-vertical-relative:page;position:absolute;z-index:-251656192" coordorigin="2915,2998" coordsize="6926,2">
              <v:shape id="Freeform 42" o:spid="_x0000_s2051" style="width:6926;height:2;left:2915;mso-wrap-style:square;position:absolute;top:2998;visibility:visible;v-text-anchor:top" coordsize="6926,2" path="m,l6926,e" filled="f" strokecolor="#231f20" strokeweight="0.25pt">
                <v:path arrowok="t" o:connecttype="custom" o:connectlocs="0,0;6926,0" o:connectangles="0,0"/>
              </v:shape>
            </v:group>
          </w:pict>
        </mc:Fallback>
      </mc:AlternateContent>
    </w:r>
    <w:r w:rsidR="009C426E">
      <w:t xml:space="preserve">Uz </w:t>
    </w:r>
    <w:r w:rsidR="009C426E">
      <w:rPr>
        <w:noProof/>
      </w:rPr>
      <w:t>12.04.2018</w:t>
    </w:r>
    <w:r w:rsidR="009C426E">
      <w:t>.</w:t>
    </w:r>
    <w:r w:rsidR="009C426E">
      <w:tab/>
      <w:t xml:space="preserve">Nr. </w:t>
    </w:r>
    <w:r w:rsidR="009C426E">
      <w:rPr>
        <w:noProof/>
      </w:rPr>
      <w:t>VSS-366  15</w:t>
    </w:r>
    <w:r w:rsidR="00104688">
      <w:rPr>
        <w:noProof/>
      </w:rPr>
      <w:t xml:space="preserve"> /15.par/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15:restartNumberingAfterBreak="1">
    <w:nsid w:val="FFFFFF1D"/>
    <w:multiLevelType w:val="multilevel"/>
    <w:tmpl w:val="E8A2284C"/>
    <w:lvl w:ilvl="0">
      <w:start w:val="1"/>
      <w:numFmt w:val="bullet"/>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1">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1">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1">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1">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1">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1">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1">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1">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1">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1">
    <w:nsid w:val="39716A5C"/>
    <w:multiLevelType w:val="hybridMultilevel"/>
    <w:tmpl w:val="568A7FDC"/>
    <w:lvl w:ilvl="0">
      <w:start w:val="1"/>
      <w:numFmt w:val="bullet"/>
      <w:lvlText w:val=""/>
      <w:lvlJc w:val="left"/>
      <w:pPr>
        <w:ind w:left="1500" w:hanging="360"/>
      </w:pPr>
      <w:rPr>
        <w:rFonts w:ascii="Symbol" w:hAnsi="Symbol" w:hint="default"/>
      </w:rPr>
    </w:lvl>
    <w:lvl w:ilvl="1" w:tentative="1">
      <w:start w:val="1"/>
      <w:numFmt w:val="bullet"/>
      <w:lvlText w:val="o"/>
      <w:lvlJc w:val="left"/>
      <w:pPr>
        <w:ind w:left="2220" w:hanging="360"/>
      </w:pPr>
      <w:rPr>
        <w:rFonts w:ascii="Courier New" w:hAnsi="Courier New" w:cs="Courier New" w:hint="default"/>
      </w:rPr>
    </w:lvl>
    <w:lvl w:ilvl="2" w:tentative="1">
      <w:start w:val="1"/>
      <w:numFmt w:val="bullet"/>
      <w:lvlText w:val=""/>
      <w:lvlJc w:val="left"/>
      <w:pPr>
        <w:ind w:left="2940" w:hanging="360"/>
      </w:pPr>
      <w:rPr>
        <w:rFonts w:ascii="Wingdings" w:hAnsi="Wingdings" w:hint="default"/>
      </w:rPr>
    </w:lvl>
    <w:lvl w:ilvl="3" w:tentative="1">
      <w:start w:val="1"/>
      <w:numFmt w:val="bullet"/>
      <w:lvlText w:val=""/>
      <w:lvlJc w:val="left"/>
      <w:pPr>
        <w:ind w:left="3660" w:hanging="360"/>
      </w:pPr>
      <w:rPr>
        <w:rFonts w:ascii="Symbol" w:hAnsi="Symbol" w:hint="default"/>
      </w:rPr>
    </w:lvl>
    <w:lvl w:ilvl="4" w:tentative="1">
      <w:start w:val="1"/>
      <w:numFmt w:val="bullet"/>
      <w:lvlText w:val="o"/>
      <w:lvlJc w:val="left"/>
      <w:pPr>
        <w:ind w:left="4380" w:hanging="360"/>
      </w:pPr>
      <w:rPr>
        <w:rFonts w:ascii="Courier New" w:hAnsi="Courier New" w:cs="Courier New" w:hint="default"/>
      </w:rPr>
    </w:lvl>
    <w:lvl w:ilvl="5" w:tentative="1">
      <w:start w:val="1"/>
      <w:numFmt w:val="bullet"/>
      <w:lvlText w:val=""/>
      <w:lvlJc w:val="left"/>
      <w:pPr>
        <w:ind w:left="5100" w:hanging="360"/>
      </w:pPr>
      <w:rPr>
        <w:rFonts w:ascii="Wingdings" w:hAnsi="Wingdings" w:hint="default"/>
      </w:rPr>
    </w:lvl>
    <w:lvl w:ilvl="6" w:tentative="1">
      <w:start w:val="1"/>
      <w:numFmt w:val="bullet"/>
      <w:lvlText w:val=""/>
      <w:lvlJc w:val="left"/>
      <w:pPr>
        <w:ind w:left="5820" w:hanging="360"/>
      </w:pPr>
      <w:rPr>
        <w:rFonts w:ascii="Symbol" w:hAnsi="Symbol" w:hint="default"/>
      </w:rPr>
    </w:lvl>
    <w:lvl w:ilvl="7" w:tentative="1">
      <w:start w:val="1"/>
      <w:numFmt w:val="bullet"/>
      <w:lvlText w:val="o"/>
      <w:lvlJc w:val="left"/>
      <w:pPr>
        <w:ind w:left="6540" w:hanging="360"/>
      </w:pPr>
      <w:rPr>
        <w:rFonts w:ascii="Courier New" w:hAnsi="Courier New" w:cs="Courier New" w:hint="default"/>
      </w:rPr>
    </w:lvl>
    <w:lvl w:ilvl="8" w:tentative="1">
      <w:start w:val="1"/>
      <w:numFmt w:val="bullet"/>
      <w:lvlText w:val=""/>
      <w:lvlJc w:val="left"/>
      <w:pPr>
        <w:ind w:left="7260" w:hanging="360"/>
      </w:pPr>
      <w:rPr>
        <w:rFonts w:ascii="Wingdings" w:hAnsi="Wingdings"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264"/>
    <w:rsid w:val="00006384"/>
    <w:rsid w:val="00030349"/>
    <w:rsid w:val="000A0B61"/>
    <w:rsid w:val="000F716B"/>
    <w:rsid w:val="00104688"/>
    <w:rsid w:val="00124173"/>
    <w:rsid w:val="001D79E4"/>
    <w:rsid w:val="00242216"/>
    <w:rsid w:val="00264F65"/>
    <w:rsid w:val="00265D4A"/>
    <w:rsid w:val="00275B9E"/>
    <w:rsid w:val="00290B9D"/>
    <w:rsid w:val="002B3077"/>
    <w:rsid w:val="002D7FAB"/>
    <w:rsid w:val="002E1474"/>
    <w:rsid w:val="002E75AE"/>
    <w:rsid w:val="00330D43"/>
    <w:rsid w:val="003B48FB"/>
    <w:rsid w:val="004837AD"/>
    <w:rsid w:val="004B29B1"/>
    <w:rsid w:val="004D5726"/>
    <w:rsid w:val="004F08C0"/>
    <w:rsid w:val="00535564"/>
    <w:rsid w:val="005D2424"/>
    <w:rsid w:val="00663C3A"/>
    <w:rsid w:val="00693999"/>
    <w:rsid w:val="006C1639"/>
    <w:rsid w:val="006C416D"/>
    <w:rsid w:val="0073633D"/>
    <w:rsid w:val="007A2264"/>
    <w:rsid w:val="007B3BA5"/>
    <w:rsid w:val="007B48EC"/>
    <w:rsid w:val="007C0E80"/>
    <w:rsid w:val="007E4D1F"/>
    <w:rsid w:val="00815277"/>
    <w:rsid w:val="008669E5"/>
    <w:rsid w:val="00876C21"/>
    <w:rsid w:val="008C195B"/>
    <w:rsid w:val="008D4AF3"/>
    <w:rsid w:val="00954D5A"/>
    <w:rsid w:val="0099125D"/>
    <w:rsid w:val="009A40B4"/>
    <w:rsid w:val="009C426E"/>
    <w:rsid w:val="009D0F72"/>
    <w:rsid w:val="00A03A13"/>
    <w:rsid w:val="00A30D47"/>
    <w:rsid w:val="00AA712C"/>
    <w:rsid w:val="00AF0E90"/>
    <w:rsid w:val="00BE56C2"/>
    <w:rsid w:val="00C47F57"/>
    <w:rsid w:val="00C56EDF"/>
    <w:rsid w:val="00CA407F"/>
    <w:rsid w:val="00D0743C"/>
    <w:rsid w:val="00D21FA6"/>
    <w:rsid w:val="00D55B4B"/>
    <w:rsid w:val="00DD3458"/>
    <w:rsid w:val="00E30DE6"/>
    <w:rsid w:val="00E330D3"/>
    <w:rsid w:val="00E365CE"/>
    <w:rsid w:val="00EA5DAF"/>
    <w:rsid w:val="00EF676E"/>
    <w:rsid w:val="00F25DA3"/>
    <w:rsid w:val="00F60586"/>
    <w:rsid w:val="00F82FDF"/>
    <w:rsid w:val="00FB2E50"/>
    <w:rsid w:val="00FF0EE8"/>
  </w:rsids>
  <m:mathPr>
    <m:mathFont m:val="Cambria Math"/>
    <m:dispDef m:val="0"/>
    <m:wrapRight/>
    <m:naryLim m:val="subSup"/>
  </m:mathPr>
  <w:themeFontLang w:val="lv-LV"/>
  <w:clrSchemeMapping w:bg1="light1" w:t1="dark1" w:bg2="light2" w:t2="dark2" w:accent1="accent1" w:accent2="accent2" w:accent3="accent3" w:accent4="accent4" w:accent5="accent5" w:accent6="accent6" w:hyperlink="hyperlink" w:followedHyperlink="followedHyperlink"/>
  <w15:docId w15:val="{7798B06E-E6E6-4E18-92F7-84F9DC201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4"/>
        <w:szCs w:val="24"/>
        <w:lang w:val="lv-LV" w:eastAsia="lv-LV"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2264"/>
    <w:pPr>
      <w:widowControl w:val="0"/>
      <w:spacing w:after="200" w:line="27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eader" Target="header1.xm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TotalTime>
  <Pages>3</Pages>
  <Words>6101</Words>
  <Characters>3479</Characters>
  <Application>Microsoft Office Word</Application>
  <DocSecurity>0</DocSecurity>
  <Lines>28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Ingus Tonnis</dc:creator>
  <cp:lastModifiedBy>Elvīra Šmukste</cp:lastModifiedBy>
  <cp:revision>4</cp:revision>
  <cp:lastPrinted>2014-12-29T13:31:00Z</cp:lastPrinted>
  <dcterms:created xsi:type="dcterms:W3CDTF">2017-10-20T12:47:00Z</dcterms:created>
  <dcterms:modified xsi:type="dcterms:W3CDTF">2018-04-27T10:48:00Z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