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17FD3AD" w14:textId="77777777" w:rsidR="00E80340" w:rsidRDefault="00C41197">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E80340" w14:paraId="517FD3B3" w14:textId="77777777">
        <w:tc>
          <w:tcPr>
            <w:tcW w:w="750" w:type="dxa"/>
            <w:shd w:val="clear" w:color="auto" w:fill="FFFFFF"/>
            <w:noWrap/>
            <w:tcMar>
              <w:top w:w="75" w:type="dxa"/>
              <w:left w:w="75" w:type="dxa"/>
              <w:bottom w:w="75" w:type="dxa"/>
              <w:right w:w="75" w:type="dxa"/>
            </w:tcMar>
            <w:vAlign w:val="center"/>
          </w:tcPr>
          <w:p w14:paraId="517FD3AE" w14:textId="77777777" w:rsidR="00E80340" w:rsidRDefault="00C41197">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517FD3AF" w14:textId="77777777" w:rsidR="00E80340" w:rsidRDefault="00C41197">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517FD3B0" w14:textId="77777777" w:rsidR="00E80340" w:rsidRDefault="00C41197">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517FD3B1" w14:textId="77777777" w:rsidR="00E80340" w:rsidRDefault="00C41197">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517FD3B2" w14:textId="77777777" w:rsidR="00E80340" w:rsidRDefault="00C41197">
            <w:pPr>
              <w:jc w:val="center"/>
            </w:pPr>
            <w:r>
              <w:rPr>
                <w:b/>
              </w:rPr>
              <w:t>Pamatojums, ja iebildums / priekšlikums nav ņemts vērā</w:t>
            </w:r>
          </w:p>
        </w:tc>
      </w:tr>
      <w:tr w:rsidR="00E80340" w14:paraId="517FD3B9" w14:textId="77777777">
        <w:tc>
          <w:tcPr>
            <w:tcW w:w="750" w:type="dxa"/>
            <w:shd w:val="clear" w:color="auto" w:fill="FFFFFF"/>
            <w:noWrap/>
            <w:tcMar>
              <w:top w:w="75" w:type="dxa"/>
              <w:left w:w="75" w:type="dxa"/>
              <w:bottom w:w="75" w:type="dxa"/>
              <w:right w:w="75" w:type="dxa"/>
            </w:tcMar>
            <w:vAlign w:val="center"/>
          </w:tcPr>
          <w:p w14:paraId="517FD3B4" w14:textId="77777777" w:rsidR="00E80340" w:rsidRDefault="00C41197">
            <w:pPr>
              <w:jc w:val="center"/>
            </w:pPr>
            <w:r>
              <w:t>1.</w:t>
            </w:r>
          </w:p>
        </w:tc>
        <w:tc>
          <w:tcPr>
            <w:tcW w:w="4155" w:type="dxa"/>
            <w:shd w:val="clear" w:color="auto" w:fill="FFFFFF"/>
            <w:noWrap/>
            <w:tcMar>
              <w:top w:w="75" w:type="dxa"/>
              <w:left w:w="75" w:type="dxa"/>
              <w:bottom w:w="75" w:type="dxa"/>
              <w:right w:w="75" w:type="dxa"/>
            </w:tcMar>
            <w:vAlign w:val="center"/>
          </w:tcPr>
          <w:p w14:paraId="517FD3B5" w14:textId="77777777" w:rsidR="00E80340" w:rsidRDefault="00C41197">
            <w:pPr>
              <w:jc w:val="left"/>
            </w:pPr>
            <w:r>
              <w:t>*</w:t>
            </w:r>
            <w:proofErr w:type="spellStart"/>
            <w:r>
              <w:t>Tetra</w:t>
            </w:r>
            <w:proofErr w:type="spellEnd"/>
            <w:r>
              <w:t xml:space="preserve"> Pak</w:t>
            </w:r>
          </w:p>
        </w:tc>
        <w:tc>
          <w:tcPr>
            <w:tcW w:w="4156" w:type="dxa"/>
            <w:shd w:val="clear" w:color="auto" w:fill="FFFFFF"/>
            <w:noWrap/>
            <w:tcMar>
              <w:top w:w="75" w:type="dxa"/>
              <w:left w:w="75" w:type="dxa"/>
              <w:bottom w:w="75" w:type="dxa"/>
              <w:right w:w="75" w:type="dxa"/>
            </w:tcMar>
            <w:vAlign w:val="center"/>
          </w:tcPr>
          <w:p w14:paraId="517FD3B6" w14:textId="77777777" w:rsidR="00E80340" w:rsidRDefault="00C41197">
            <w:pPr>
              <w:jc w:val="left"/>
            </w:pPr>
            <w:r>
              <w:t>2024. gada 5. martā</w:t>
            </w:r>
            <w:r>
              <w:br/>
            </w:r>
            <w:r>
              <w:t>Vides aizsardzības un reģionālās attīstības ministrijas Vides aizsardzības departamentam</w:t>
            </w:r>
            <w:r>
              <w:br/>
            </w:r>
            <w:r>
              <w:t>Par grozījumiem Ministru kabineta 2017.g. 16.augusta noteikumos Nr. 480 “Noteikumi par atbrīvojuma piemērošanu no dabas resursu nodokļa samaksas par iepakojumu un vienreiz lietojamiem galda traukiem un piederumiem”</w:t>
            </w:r>
            <w:r>
              <w:br/>
            </w:r>
            <w:r>
              <w:br/>
            </w:r>
            <w:r>
              <w:t>Esam iepazinušies ar grozījumiem Ministru kabineta 2017.g. 16.augusta noteikumos Nr. 480 “Noteikumi par atbrīvojuma piemērošanu no dabas resursu nodokļa samaksas par iepakojumu un vienreiz lietojamiem galda</w:t>
            </w:r>
            <w:r>
              <w:t xml:space="preserve"> traukiem un piederumiem” (turpmāk - Grozījumi) un </w:t>
            </w:r>
            <w:r>
              <w:lastRenderedPageBreak/>
              <w:t>pateicamies par iespēju paust viedokli.</w:t>
            </w:r>
            <w:r>
              <w:br/>
            </w:r>
            <w:r>
              <w:br/>
            </w:r>
            <w:r>
              <w:t>Lai sasniegtu augstāku pārstrādes līmeni, ir jāsavāc vairāk izlietotā iepakojuma, īpaši ņemot vērā nepieciešamību tos savākt atsevišķi. Tikai valsts mēroga savākšanas un pārstrādes mērķis dzērienu kartona iepakojumam var nodrošināt lielāku pārstrādi un godīgu konkurenci kartona iepakojumam salīdzinājumā ar PET iepakojumu. Ir pierādīts, ka valstīs, kurās ir noteikti atsevišķi tieši dzērienu kartona iepakojuma savākšan</w:t>
            </w:r>
            <w:r>
              <w:t>as un pārstrādes mērķi, to savākšanas un pārstrādes rādītāji ir ievērojami augstāki nekā citās Eiropas valstīs un pārsniedz arī pašu šo valstu noteiktos mērķus.(1) Šis fakts ļauj secināt, ka atsevišķu mērķu definēšana tieši kompozīta kartona iepakojumam ir efektīvs instruments, ko valstīm izmantot, lai pārstrādi.</w:t>
            </w:r>
            <w:r>
              <w:br/>
            </w:r>
            <w:r>
              <w:br/>
            </w:r>
            <w:proofErr w:type="spellStart"/>
            <w:r>
              <w:t>Tetra</w:t>
            </w:r>
            <w:proofErr w:type="spellEnd"/>
            <w:r>
              <w:t xml:space="preserve"> Pak uzskata, ka ir ļoti svarīgi </w:t>
            </w:r>
            <w:r>
              <w:lastRenderedPageBreak/>
              <w:t>noteikt un ieviest dzērienu kartona iepakojuma obligātās dalītās savākšanas mērķus Latvijā, tādējādi nodrošinot, ka šis iepakojums tiek savākts un netiek izsl</w:t>
            </w:r>
            <w:r>
              <w:t xml:space="preserve">ēgts no kopējās atkritumu savākšanas un pārstrādes sistēmas valsts līmenī ekonomisku, vides vai tehnisku iemeslu dēļ. 2023. gadā </w:t>
            </w:r>
            <w:proofErr w:type="spellStart"/>
            <w:r>
              <w:t>Tetra</w:t>
            </w:r>
            <w:proofErr w:type="spellEnd"/>
            <w:r>
              <w:t xml:space="preserve"> Pak kopā ar </w:t>
            </w:r>
            <w:proofErr w:type="spellStart"/>
            <w:r>
              <w:t>Stora</w:t>
            </w:r>
            <w:proofErr w:type="spellEnd"/>
            <w:r>
              <w:t xml:space="preserve"> </w:t>
            </w:r>
            <w:proofErr w:type="spellStart"/>
            <w:r>
              <w:t>Enso</w:t>
            </w:r>
            <w:proofErr w:type="spellEnd"/>
            <w:r>
              <w:t xml:space="preserve"> atklāja jaunu 50 tūkstošu tonnu dzērienu kartona iepakojuma pārstrādes līniju, kuras mērķis ir pārstrādāt arī izlietoto dzērienu kartona iepakojumu no Latvijas.</w:t>
            </w:r>
            <w:r>
              <w:br/>
            </w:r>
            <w:r>
              <w:br/>
            </w:r>
            <w:r>
              <w:t>Šajā sakarā esam gandarīti par pēdējiem pieņemtajiem grozījumiem Dabas resursu nodokļa likumā, kur kompozīta kartona izejmateriāls ir norādīts kā atsevišķs materiāla veids. Ir jāturpina iesākt</w:t>
            </w:r>
            <w:r>
              <w:t>ā virzība Grozījumos, nosakot saprātīgu pārstrādes mērķi 35% apmērā ar ikgadēju palielinājumu par 5% un regulāru pārskatīšanu, kas varētu izskatīties sekojoši:</w:t>
            </w:r>
            <w:r>
              <w:br/>
            </w:r>
            <w:r>
              <w:lastRenderedPageBreak/>
              <w:t>2025: 35%</w:t>
            </w:r>
            <w:r>
              <w:br/>
            </w:r>
            <w:r>
              <w:t>2026: 40%</w:t>
            </w:r>
            <w:r>
              <w:br/>
            </w:r>
            <w:r>
              <w:t>2027: 55%</w:t>
            </w:r>
            <w:r>
              <w:br/>
            </w:r>
            <w:r>
              <w:t>2028: 60%</w:t>
            </w:r>
            <w:r>
              <w:br/>
            </w:r>
            <w:r>
              <w:br/>
            </w:r>
            <w:r>
              <w:t xml:space="preserve">Paužam atbalstu izvēlētajiem </w:t>
            </w:r>
            <w:proofErr w:type="spellStart"/>
            <w:r>
              <w:t>pārstrādājamības</w:t>
            </w:r>
            <w:proofErr w:type="spellEnd"/>
            <w:r>
              <w:t xml:space="preserve"> kritērijiem. Kā zināms, pastāv risinājums dzērienu kartona iepakojuma pārstrādei un esam ieinteresēti, lai izlietotais kartona iepakojums tiktu savākts. Tiek veiktas investīcijas un savstarpējas sadarbības Latvijā, lai šis apjoms tiktu pēc iespējas palielināts, jo </w:t>
            </w:r>
            <w:r>
              <w:t xml:space="preserve">jauda ir pieejama tā </w:t>
            </w:r>
            <w:proofErr w:type="spellStart"/>
            <w:r>
              <w:t>pārstādei</w:t>
            </w:r>
            <w:proofErr w:type="spellEnd"/>
            <w:r>
              <w:t xml:space="preserve"> (nevis dedzināšanai) Polijā. Infrastruktūra ir izveidota, nodrošinot visus nepieciešamos priekšnosacījumus, lai Latvija uzrādītu pēc iespējas labāku rezultātu attiecībā uz minētā iepakojuma veida pārstrādi, tomēr redzams, ka to pilnībā sasniegt nav iespējams bez vienota regulējuma visiem tirgus dalībniekiem.</w:t>
            </w:r>
            <w:r>
              <w:br/>
            </w:r>
            <w:r>
              <w:br/>
            </w:r>
            <w:r>
              <w:t xml:space="preserve">Esam gatavi vienoties par šo mērķi un vēlamies vienotus nosacījumus </w:t>
            </w:r>
            <w:r>
              <w:lastRenderedPageBreak/>
              <w:t>visiem nozares spēlētājiem, apzinoties arvien augošo spiedienu pēc pārstrādes. Aicinām uz ilgtermiņa m</w:t>
            </w:r>
            <w:r>
              <w:t>ērķiem virzīties pakāpeniski, izvairoties no nepārvarama sloga nākotnē.</w:t>
            </w:r>
            <w:r>
              <w:br/>
            </w:r>
            <w:r>
              <w:br/>
            </w:r>
            <w:r>
              <w:t xml:space="preserve">Atsauce (1): EU </w:t>
            </w:r>
            <w:proofErr w:type="spellStart"/>
            <w:r>
              <w:t>needs</w:t>
            </w:r>
            <w:proofErr w:type="spellEnd"/>
            <w:r>
              <w:t xml:space="preserve"> a 90% </w:t>
            </w:r>
            <w:proofErr w:type="spellStart"/>
            <w:r>
              <w:t>collection</w:t>
            </w:r>
            <w:proofErr w:type="spellEnd"/>
            <w:r>
              <w:t xml:space="preserve"> </w:t>
            </w:r>
            <w:proofErr w:type="spellStart"/>
            <w:r>
              <w:t>target</w:t>
            </w:r>
            <w:proofErr w:type="spellEnd"/>
            <w:r>
              <w:t xml:space="preserve"> </w:t>
            </w:r>
            <w:proofErr w:type="spellStart"/>
            <w:r>
              <w:t>for</w:t>
            </w:r>
            <w:proofErr w:type="spellEnd"/>
            <w:r>
              <w:t xml:space="preserve"> </w:t>
            </w:r>
            <w:proofErr w:type="spellStart"/>
            <w:r>
              <w:t>beverage</w:t>
            </w:r>
            <w:proofErr w:type="spellEnd"/>
            <w:r>
              <w:t xml:space="preserve"> </w:t>
            </w:r>
            <w:proofErr w:type="spellStart"/>
            <w:r>
              <w:t>cartons</w:t>
            </w:r>
            <w:proofErr w:type="spellEnd"/>
            <w:r>
              <w:t xml:space="preserve"> to </w:t>
            </w:r>
            <w:proofErr w:type="spellStart"/>
            <w:r>
              <w:t>boost</w:t>
            </w:r>
            <w:proofErr w:type="spellEnd"/>
            <w:r>
              <w:t xml:space="preserve"> </w:t>
            </w:r>
            <w:proofErr w:type="spellStart"/>
            <w:r>
              <w:t>recycling</w:t>
            </w:r>
            <w:proofErr w:type="spellEnd"/>
            <w:r>
              <w:t xml:space="preserve">: https://www.euractiv.com/section/energy-environment/interview/expert-eu-needs-a-90- </w:t>
            </w:r>
            <w:proofErr w:type="spellStart"/>
            <w:r>
              <w:t>collection</w:t>
            </w:r>
            <w:proofErr w:type="spellEnd"/>
            <w:r>
              <w:t>-</w:t>
            </w:r>
            <w:proofErr w:type="spellStart"/>
            <w:r>
              <w:t>target</w:t>
            </w:r>
            <w:proofErr w:type="spellEnd"/>
            <w:r>
              <w:t>-</w:t>
            </w:r>
            <w:proofErr w:type="spellStart"/>
            <w:r>
              <w:t>for</w:t>
            </w:r>
            <w:proofErr w:type="spellEnd"/>
            <w:r>
              <w:t>-</w:t>
            </w:r>
            <w:proofErr w:type="spellStart"/>
            <w:r>
              <w:t>beverage</w:t>
            </w:r>
            <w:proofErr w:type="spellEnd"/>
            <w:r>
              <w:t>-</w:t>
            </w:r>
            <w:proofErr w:type="spellStart"/>
            <w:r>
              <w:t>cartons</w:t>
            </w:r>
            <w:proofErr w:type="spellEnd"/>
            <w:r>
              <w:t>-to-</w:t>
            </w:r>
            <w:proofErr w:type="spellStart"/>
            <w:r>
              <w:t>boost</w:t>
            </w:r>
            <w:proofErr w:type="spellEnd"/>
            <w:r>
              <w:t>-</w:t>
            </w:r>
            <w:proofErr w:type="spellStart"/>
            <w:r>
              <w:t>recycling</w:t>
            </w:r>
            <w:proofErr w:type="spellEnd"/>
            <w:r>
              <w:t>/</w:t>
            </w:r>
          </w:p>
        </w:tc>
        <w:tc>
          <w:tcPr>
            <w:tcW w:w="1350" w:type="dxa"/>
            <w:shd w:val="clear" w:color="auto" w:fill="FFFFFF"/>
            <w:noWrap/>
            <w:tcMar>
              <w:top w:w="75" w:type="dxa"/>
              <w:left w:w="75" w:type="dxa"/>
              <w:bottom w:w="75" w:type="dxa"/>
              <w:right w:w="75" w:type="dxa"/>
            </w:tcMar>
            <w:vAlign w:val="center"/>
          </w:tcPr>
          <w:p w14:paraId="517FD3B7" w14:textId="32E6E398" w:rsidR="00E80340" w:rsidRDefault="00952538">
            <w:pPr>
              <w:jc w:val="left"/>
            </w:pPr>
            <w:r>
              <w:rPr>
                <w:b/>
              </w:rPr>
              <w:lastRenderedPageBreak/>
              <w:t>Ņemts vērā</w:t>
            </w:r>
          </w:p>
        </w:tc>
        <w:tc>
          <w:tcPr>
            <w:tcW w:w="4156" w:type="dxa"/>
            <w:shd w:val="clear" w:color="auto" w:fill="FFFFFF"/>
            <w:noWrap/>
            <w:tcMar>
              <w:top w:w="75" w:type="dxa"/>
              <w:left w:w="75" w:type="dxa"/>
              <w:bottom w:w="75" w:type="dxa"/>
              <w:right w:w="75" w:type="dxa"/>
            </w:tcMar>
            <w:vAlign w:val="center"/>
          </w:tcPr>
          <w:p w14:paraId="517FD3B8" w14:textId="77777777" w:rsidR="00E80340" w:rsidRDefault="00E80340">
            <w:pPr>
              <w:jc w:val="left"/>
            </w:pPr>
          </w:p>
        </w:tc>
      </w:tr>
      <w:tr w:rsidR="00E80340" w14:paraId="517FD3BF" w14:textId="77777777">
        <w:tc>
          <w:tcPr>
            <w:tcW w:w="750" w:type="dxa"/>
            <w:shd w:val="clear" w:color="auto" w:fill="FFFFFF"/>
            <w:noWrap/>
            <w:tcMar>
              <w:top w:w="75" w:type="dxa"/>
              <w:left w:w="75" w:type="dxa"/>
              <w:bottom w:w="75" w:type="dxa"/>
              <w:right w:w="75" w:type="dxa"/>
            </w:tcMar>
            <w:vAlign w:val="center"/>
          </w:tcPr>
          <w:p w14:paraId="517FD3BA" w14:textId="77777777" w:rsidR="00E80340" w:rsidRDefault="00C41197">
            <w:pPr>
              <w:jc w:val="center"/>
            </w:pPr>
            <w:r>
              <w:lastRenderedPageBreak/>
              <w:t>2.</w:t>
            </w:r>
          </w:p>
        </w:tc>
        <w:tc>
          <w:tcPr>
            <w:tcW w:w="4155" w:type="dxa"/>
            <w:shd w:val="clear" w:color="auto" w:fill="FFFFFF"/>
            <w:noWrap/>
            <w:tcMar>
              <w:top w:w="75" w:type="dxa"/>
              <w:left w:w="75" w:type="dxa"/>
              <w:bottom w:w="75" w:type="dxa"/>
              <w:right w:w="75" w:type="dxa"/>
            </w:tcMar>
            <w:vAlign w:val="center"/>
          </w:tcPr>
          <w:p w14:paraId="517FD3BB" w14:textId="77777777" w:rsidR="00E80340" w:rsidRDefault="00C41197">
            <w:pPr>
              <w:jc w:val="left"/>
            </w:pPr>
            <w:r>
              <w:t>"Zaļā brīvība", Jānis Brizga</w:t>
            </w:r>
          </w:p>
        </w:tc>
        <w:tc>
          <w:tcPr>
            <w:tcW w:w="4156" w:type="dxa"/>
            <w:shd w:val="clear" w:color="auto" w:fill="FFFFFF"/>
            <w:noWrap/>
            <w:tcMar>
              <w:top w:w="75" w:type="dxa"/>
              <w:left w:w="75" w:type="dxa"/>
              <w:bottom w:w="75" w:type="dxa"/>
              <w:right w:w="75" w:type="dxa"/>
            </w:tcMar>
            <w:vAlign w:val="center"/>
          </w:tcPr>
          <w:p w14:paraId="517FD3BC" w14:textId="77777777" w:rsidR="00E80340" w:rsidRDefault="00C41197">
            <w:pPr>
              <w:jc w:val="left"/>
            </w:pPr>
            <w:r>
              <w:t>Vides aizsardzības un reģionālās attīstības ministrijai</w:t>
            </w:r>
            <w:r>
              <w:br/>
            </w:r>
            <w:r>
              <w:t>2024.gada 6.martā</w:t>
            </w:r>
            <w:r>
              <w:br/>
            </w:r>
            <w:r>
              <w:t>Par 24-TA-118 Grozījumi Ministru kabineta 2017. gada 16. augusta noteikumos Nr. 480 "Noteikumi par atbrīvojuma piemērošanu no dabas resursu nodokļa samaksas par iepakojumu un vienreiz lietojamiem galda traukiem un piederumiem"</w:t>
            </w:r>
            <w:r>
              <w:br/>
            </w:r>
            <w:r>
              <w:lastRenderedPageBreak/>
              <w:br/>
            </w:r>
            <w:r>
              <w:t>Biedrība Zaļa brīvība un nodibinājums Pasaules dabas fonds ir iepazinušies ar noteikumu grozījumu projektu 24-TA-118 Grozījumi Ministru kabineta 2017. gada 16. augusta noteikumos Nr. 480 "Noteikumi par atbrīvojuma piemērošanu no dabas resursu nodokļa samaksas par i</w:t>
            </w:r>
            <w:r>
              <w:t>epakojumu un vienreiz lietojamiem galda traukiem un piederumiem".</w:t>
            </w:r>
            <w:r>
              <w:br/>
            </w:r>
            <w:r>
              <w:t xml:space="preserve">Jau 2021. gada 26. jūlijā </w:t>
            </w:r>
            <w:proofErr w:type="spellStart"/>
            <w:r>
              <w:t>Nr</w:t>
            </w:r>
            <w:proofErr w:type="spellEnd"/>
            <w:r>
              <w:t xml:space="preserve"> 1-24 Vides konsultatīva padome, sniedzot viedokli Vides aizsardzības un reģionālās ministrijai par likumprojektu "Grozījumi Dabas resursu nodokļa likumā”, ietvēra ieteikumu “Izprotot resursu aprites aktualitāti, VKP uzsver, ka primāri nepieciešams veicināt iepakojuma pārstrādi, tāpēc līdztekus DRN likmes noteikšanai nepārstrādātajam kompozīta iepakojumam, steidzami un prioritāri  nepieciešama iespējami augstu komp</w:t>
            </w:r>
            <w:r>
              <w:t xml:space="preserve">ozīta un kartona </w:t>
            </w:r>
            <w:r>
              <w:lastRenderedPageBreak/>
              <w:t>iepakojuma savākšanas/pārstrādes mērķu rādītāju noteikšana Latvijā”.  </w:t>
            </w:r>
            <w:r>
              <w:br/>
            </w:r>
            <w:r>
              <w:t>Biedrība Zaļā brīvība un nodibinājums Pasaules dabas fonds vēlās norādīt, ka atbilstoši LR Ministru kabineta pieņemtajam politikas plānošanas dokumentam Rīcības plāns pārejai uz aprites ekonomiku 2020.-2027. gadam un tajā paustajiem galvenajiem rīcības virzieniem un pasākumiem aprites ekonomikas ieviešanai, piemēram, Pāreja no atkritumu apsaimniekošanas uz resursu apsaimniekošanu un Priekšnoteikumu veidošana preču otrrei</w:t>
            </w:r>
            <w:r>
              <w:t>zējai izmantošanai veicināma un kāpināma iepakojuma pārstrāde un apglabājamo atkritumu apjoma samazināšana.</w:t>
            </w:r>
            <w:r>
              <w:br/>
            </w:r>
            <w:r>
              <w:t xml:space="preserve">Abas organizācijas aicina noteikumu Ministru kabineta 2017. gada 16. augusta noteikumi Nr. 480 "Noteikumi par atbrīvojuma piemērošanu no dabas resursu nodokļa samaksas par iepakojumu un vienreiz lietojamiem galda </w:t>
            </w:r>
            <w:r>
              <w:lastRenderedPageBreak/>
              <w:t>traukiem un piederumiem" grozījumos iekļaut konkrētus kvantitatīvos savākšanas vai pārstrādes mērķus dzērienu kartona iepakojumam, tādējādi izslēdzot iepakojuma nonākšanu atkritumu poligonā v</w:t>
            </w:r>
            <w:r>
              <w:t>ai atkritumu dedzinātavā, attīstot augstāku atbildību atkritumu apsaimniekotajiem un veicinot iepakojuma otrreizēju pārstrādi. Abas organizācijas iesaka noteikt ar 2025.gadu kvantitatīvo pārstrādes mērķi 40% un nākamo 2 vai 3 gadu periodā noteikt papildu pārstrādes mērķu kāpumu par 10%.</w:t>
            </w:r>
            <w:r>
              <w:br/>
            </w:r>
            <w:r>
              <w:t>Šādu mērķu izvirzīšana padarīs pārstrādi dzērienu kartona iepakojumam saistošu visiem nozares spēlētājiem Latvijā. Līdzšinējā ārvalstu pieredze norāda, ka valstīs ar šādi izvirzītiem mērķiem to savākšanas un pārstrādes rādīt</w:t>
            </w:r>
            <w:r>
              <w:t xml:space="preserve">āji ir augstāki, tāpēc organizācijas redz šo kā efektīvu risinājumu, lai samazinātu atkritumu apglabāšanu un veicinātu pārstrādi. Stingrai virzībai uz </w:t>
            </w:r>
            <w:r>
              <w:lastRenderedPageBreak/>
              <w:t>pārstrādājamu iepakojumu ir jābūt skaidri atspoguļotai ne tikai valsts veidotajā politikā, bet arī veicinošai praktiskas rīcības attīstībā. Savākšanas un pārstrādes mērķu rādītāji ar pakāpenisku, bet konstantu kāpumu dzērienu kartona iepakojumam ir jānostiprina tiesiskā regulējumā.</w:t>
            </w:r>
            <w:r>
              <w:br/>
            </w:r>
            <w:r>
              <w:br/>
            </w:r>
            <w:r>
              <w:t>Jānis Brizga, biedrība Zaļā brīvība valdes priekšsēdētājs</w:t>
            </w:r>
            <w:r>
              <w:br/>
            </w:r>
            <w:r>
              <w:t>Jānis Rozītis, nodi</w:t>
            </w:r>
            <w:r>
              <w:t>binājuma Pasaules dabas fonds direktors</w:t>
            </w:r>
          </w:p>
        </w:tc>
        <w:tc>
          <w:tcPr>
            <w:tcW w:w="1350" w:type="dxa"/>
            <w:shd w:val="clear" w:color="auto" w:fill="FFFFFF"/>
            <w:noWrap/>
            <w:tcMar>
              <w:top w:w="75" w:type="dxa"/>
              <w:left w:w="75" w:type="dxa"/>
              <w:bottom w:w="75" w:type="dxa"/>
              <w:right w:w="75" w:type="dxa"/>
            </w:tcMar>
            <w:vAlign w:val="center"/>
          </w:tcPr>
          <w:p w14:paraId="517FD3BD" w14:textId="5EB6016E" w:rsidR="00E80340" w:rsidRDefault="00952538">
            <w:pPr>
              <w:jc w:val="left"/>
            </w:pPr>
            <w:r>
              <w:rPr>
                <w:b/>
              </w:rPr>
              <w:lastRenderedPageBreak/>
              <w:t>Ņemts vērā</w:t>
            </w:r>
          </w:p>
        </w:tc>
        <w:tc>
          <w:tcPr>
            <w:tcW w:w="4156" w:type="dxa"/>
            <w:shd w:val="clear" w:color="auto" w:fill="FFFFFF"/>
            <w:noWrap/>
            <w:tcMar>
              <w:top w:w="75" w:type="dxa"/>
              <w:left w:w="75" w:type="dxa"/>
              <w:bottom w:w="75" w:type="dxa"/>
              <w:right w:w="75" w:type="dxa"/>
            </w:tcMar>
            <w:vAlign w:val="center"/>
          </w:tcPr>
          <w:p w14:paraId="517FD3BE" w14:textId="77777777" w:rsidR="00E80340" w:rsidRDefault="00E80340">
            <w:pPr>
              <w:jc w:val="left"/>
            </w:pPr>
          </w:p>
        </w:tc>
      </w:tr>
      <w:tr w:rsidR="00E80340" w14:paraId="517FD3C5" w14:textId="77777777">
        <w:tc>
          <w:tcPr>
            <w:tcW w:w="750" w:type="dxa"/>
            <w:shd w:val="clear" w:color="auto" w:fill="FFFFFF"/>
            <w:noWrap/>
            <w:tcMar>
              <w:top w:w="75" w:type="dxa"/>
              <w:left w:w="75" w:type="dxa"/>
              <w:bottom w:w="75" w:type="dxa"/>
              <w:right w:w="75" w:type="dxa"/>
            </w:tcMar>
            <w:vAlign w:val="center"/>
          </w:tcPr>
          <w:p w14:paraId="517FD3C0" w14:textId="77777777" w:rsidR="00E80340" w:rsidRDefault="00C41197">
            <w:pPr>
              <w:jc w:val="center"/>
            </w:pPr>
            <w:r>
              <w:lastRenderedPageBreak/>
              <w:t>3.</w:t>
            </w:r>
          </w:p>
        </w:tc>
        <w:tc>
          <w:tcPr>
            <w:tcW w:w="4155" w:type="dxa"/>
            <w:shd w:val="clear" w:color="auto" w:fill="FFFFFF"/>
            <w:noWrap/>
            <w:tcMar>
              <w:top w:w="75" w:type="dxa"/>
              <w:left w:w="75" w:type="dxa"/>
              <w:bottom w:w="75" w:type="dxa"/>
              <w:right w:w="75" w:type="dxa"/>
            </w:tcMar>
            <w:vAlign w:val="center"/>
          </w:tcPr>
          <w:p w14:paraId="517FD3C1" w14:textId="77777777" w:rsidR="00E80340" w:rsidRDefault="00C41197">
            <w:pPr>
              <w:jc w:val="left"/>
            </w:pPr>
            <w:r>
              <w:t>Latvijas Tirdzniecības un rūpniecības kamera</w:t>
            </w:r>
          </w:p>
        </w:tc>
        <w:tc>
          <w:tcPr>
            <w:tcW w:w="4156" w:type="dxa"/>
            <w:shd w:val="clear" w:color="auto" w:fill="FFFFFF"/>
            <w:noWrap/>
            <w:tcMar>
              <w:top w:w="75" w:type="dxa"/>
              <w:left w:w="75" w:type="dxa"/>
              <w:bottom w:w="75" w:type="dxa"/>
              <w:right w:w="75" w:type="dxa"/>
            </w:tcMar>
            <w:vAlign w:val="center"/>
          </w:tcPr>
          <w:p w14:paraId="517FD3C2" w14:textId="77777777" w:rsidR="00E80340" w:rsidRDefault="00C41197">
            <w:pPr>
              <w:jc w:val="left"/>
            </w:pPr>
            <w:r>
              <w:t xml:space="preserve">Latvijas Tirdzniecības un rūpniecības kamera (turpmāk – LTRK) ir iepazinusies Vides aizsardzības un reģionālās attīstības ministrijas (turpmāk – VARAM) izstrādāto noteikumu projektu “Grozījumi Ministru kabineta 2017. gada 16. augusta noteikumos Nr. 480 "Noteikumi par atbrīvojuma piemērošanu no dabas resursu nodokļa samaksas par iepakojumu un vienreiz lietojamiem galda traukiem un </w:t>
            </w:r>
            <w:r>
              <w:lastRenderedPageBreak/>
              <w:t>piederumiem"” (24-TA-118).</w:t>
            </w:r>
            <w:r>
              <w:br/>
            </w:r>
            <w:r>
              <w:t xml:space="preserve">            Konceptuāli LTRK pauž atbalstu </w:t>
            </w:r>
            <w:proofErr w:type="spellStart"/>
            <w:r>
              <w:t>pārstrādājamības</w:t>
            </w:r>
            <w:proofErr w:type="spellEnd"/>
            <w:r>
              <w:t xml:space="preserve"> kritērijiem. Kā zināms, pastāv risinājums dzērienu kartona iepakojuma pārstrādei un LTRK ir ieinteresēta, lai izlietotais kartona iepakojums tiktu savākts. Tiek veiktas investīcijas un savstarpējas sadarbības Latvijā, lai šis apjoms tiktu pēc iespējas palielināts, jo jauda ir pieejama tā pārstrādei. Infrastruktūra ir izveidota, nodrošinot visus nepieciešamos priekšnosacījumus, lai Latvija uzrādītu pēc iespējas labāku rezu</w:t>
            </w:r>
            <w:r>
              <w:t>ltātu attiecībā uz minētā iepakojuma veida pārstrādi, tomēr redzams, ka to pilnībā sasniegt nav iespējams bez vienota regulējuma visiem tirgus dalībniekiem.</w:t>
            </w:r>
            <w:r>
              <w:br/>
            </w:r>
            <w:r>
              <w:t xml:space="preserve">Tāpēc ir ļoti svarīgi noteikt un ieviest dzērienu kartona iepakojuma obligātās dalītās savākšanas mērķus Latvijā, tādējādi nodrošinot, ka šis iepakojums tiek savākts un netiek izslēgts no kopējās atkritumu </w:t>
            </w:r>
            <w:r>
              <w:lastRenderedPageBreak/>
              <w:t>savākšanas un pārstrādes sistēmas valsts līmenī ekonomisku, vides vai tehnisku iemeslu dēļ. Ņemot vērā minēto, LTRK aicina noteikt saprātīgu pārstrād</w:t>
            </w:r>
            <w:r>
              <w:t>es mērķi 30% apmērā ar ikgadēju palielinājumu par 5% un regulāru pārskatīšanu, kas varētu izskatīties sekojoši:</w:t>
            </w:r>
            <w:r>
              <w:br/>
            </w:r>
            <w:r>
              <w:t>2024: 30%;</w:t>
            </w:r>
            <w:r>
              <w:br/>
            </w:r>
            <w:r>
              <w:t>2025: 35%;</w:t>
            </w:r>
            <w:r>
              <w:br/>
            </w:r>
            <w:r>
              <w:t>2026: 40%;</w:t>
            </w:r>
            <w:r>
              <w:br/>
            </w:r>
            <w:r>
              <w:t>2027: 55%;</w:t>
            </w:r>
            <w:r>
              <w:br/>
            </w:r>
            <w:r>
              <w:t>2028: 60%.</w:t>
            </w:r>
            <w:r>
              <w:br/>
            </w:r>
            <w:r>
              <w:t>Lai sasniegtu augstāku pārstrādes līmeni, LTRK ieskatā ir jāsavāc vairāk izlietotā iepakojuma, īpaši ņemot vērā nepieciešamību tos savākt atsevišķi. Tikai valsts mēroga savākšanas vai pārstrādes mērķis dzērienu kartona iepakojumam var nodrošināt lielāku pārstrādi un godīgu konkurenci kartona iepakojumam salīdzinājumā ar PET iepakojumu, apzinot</w:t>
            </w:r>
            <w:r>
              <w:t xml:space="preserve">ies arvien augošo spiedienu pēc pārstrādes. LTRK aicina uz ilgtermiņa mērķiem virzīties pakāpeniski, izvairoties no </w:t>
            </w:r>
            <w:r>
              <w:lastRenderedPageBreak/>
              <w:t>nepārvarama sloga nākotnē.</w:t>
            </w:r>
            <w:r>
              <w:br/>
            </w:r>
          </w:p>
        </w:tc>
        <w:tc>
          <w:tcPr>
            <w:tcW w:w="1350" w:type="dxa"/>
            <w:shd w:val="clear" w:color="auto" w:fill="FFFFFF"/>
            <w:noWrap/>
            <w:tcMar>
              <w:top w:w="75" w:type="dxa"/>
              <w:left w:w="75" w:type="dxa"/>
              <w:bottom w:w="75" w:type="dxa"/>
              <w:right w:w="75" w:type="dxa"/>
            </w:tcMar>
            <w:vAlign w:val="center"/>
          </w:tcPr>
          <w:p w14:paraId="517FD3C3" w14:textId="0761B02E" w:rsidR="00E80340" w:rsidRDefault="00952538">
            <w:pPr>
              <w:jc w:val="left"/>
            </w:pPr>
            <w:r>
              <w:rPr>
                <w:b/>
              </w:rPr>
              <w:lastRenderedPageBreak/>
              <w:t>Ņemts vērā</w:t>
            </w:r>
          </w:p>
        </w:tc>
        <w:tc>
          <w:tcPr>
            <w:tcW w:w="4156" w:type="dxa"/>
            <w:shd w:val="clear" w:color="auto" w:fill="FFFFFF"/>
            <w:noWrap/>
            <w:tcMar>
              <w:top w:w="75" w:type="dxa"/>
              <w:left w:w="75" w:type="dxa"/>
              <w:bottom w:w="75" w:type="dxa"/>
              <w:right w:w="75" w:type="dxa"/>
            </w:tcMar>
            <w:vAlign w:val="center"/>
          </w:tcPr>
          <w:p w14:paraId="517FD3C4" w14:textId="77777777" w:rsidR="00E80340" w:rsidRDefault="00E80340">
            <w:pPr>
              <w:jc w:val="left"/>
            </w:pPr>
          </w:p>
        </w:tc>
      </w:tr>
    </w:tbl>
    <w:p w14:paraId="517FD3C6" w14:textId="77777777" w:rsidR="00C41197" w:rsidRDefault="00C41197"/>
    <w:sectPr w:rsidR="00000000">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7FD3CD" w14:textId="77777777" w:rsidR="00C41197" w:rsidRDefault="00C41197">
      <w:r>
        <w:separator/>
      </w:r>
    </w:p>
  </w:endnote>
  <w:endnote w:type="continuationSeparator" w:id="0">
    <w:p w14:paraId="517FD3CF" w14:textId="77777777" w:rsidR="00C41197" w:rsidRDefault="00C41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FD3C7" w14:textId="14F7AAA4" w:rsidR="00E80340" w:rsidRDefault="00C41197">
    <w:pPr>
      <w:jc w:val="right"/>
    </w:pPr>
    <w:r>
      <w:rPr>
        <w:sz w:val="24"/>
        <w:szCs w:val="24"/>
      </w:rPr>
      <w:fldChar w:fldCharType="begin"/>
    </w:r>
    <w:r>
      <w:rPr>
        <w:sz w:val="24"/>
        <w:szCs w:val="24"/>
      </w:rPr>
      <w:instrText>PAGE</w:instrText>
    </w:r>
    <w:r w:rsidR="00952538">
      <w:rPr>
        <w:sz w:val="24"/>
        <w:szCs w:val="24"/>
      </w:rPr>
      <w:fldChar w:fldCharType="separate"/>
    </w:r>
    <w:r w:rsidR="00952538">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FD3D4" w14:textId="77777777" w:rsidR="00C41197" w:rsidRDefault="00C4119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7FD3C9" w14:textId="77777777" w:rsidR="00C41197" w:rsidRDefault="00C41197">
      <w:r>
        <w:separator/>
      </w:r>
    </w:p>
  </w:footnote>
  <w:footnote w:type="continuationSeparator" w:id="0">
    <w:p w14:paraId="517FD3CB" w14:textId="77777777" w:rsidR="00C41197" w:rsidRDefault="00C41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FD3C6" w14:textId="77777777" w:rsidR="00E80340" w:rsidRDefault="00C41197">
    <w:pPr>
      <w:pStyle w:val="Header"/>
      <w:contextualSpacing w:val="0"/>
    </w:pPr>
    <w:r>
      <w:t>Viedokļu pārskats 24-TA-118</w:t>
    </w:r>
    <w:r>
      <w:br/>
    </w:r>
    <w:r>
      <w:t>Izdrukāts 02.04.2024. 16.59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FD3C8" w14:textId="77777777" w:rsidR="00E80340" w:rsidRDefault="00C41197">
    <w:pPr>
      <w:pStyle w:val="Header"/>
      <w:contextualSpacing w:val="0"/>
    </w:pPr>
    <w:r>
      <w:t>Viedokļu pārskats 24-TA-118</w:t>
    </w:r>
    <w:r>
      <w:br/>
    </w:r>
    <w:r>
      <w:t>Izdrukāts 02.04.2024. 16.59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80340"/>
    <w:rsid w:val="000309A3"/>
    <w:rsid w:val="00060FAA"/>
    <w:rsid w:val="000A4E1B"/>
    <w:rsid w:val="00157375"/>
    <w:rsid w:val="002A2077"/>
    <w:rsid w:val="002B0D5C"/>
    <w:rsid w:val="006014B6"/>
    <w:rsid w:val="0060211B"/>
    <w:rsid w:val="00701C5E"/>
    <w:rsid w:val="008454A6"/>
    <w:rsid w:val="00952538"/>
    <w:rsid w:val="00955F25"/>
    <w:rsid w:val="00957232"/>
    <w:rsid w:val="00A028BF"/>
    <w:rsid w:val="00A52D4E"/>
    <w:rsid w:val="00AF4410"/>
    <w:rsid w:val="00B66AE9"/>
    <w:rsid w:val="00C11E2B"/>
    <w:rsid w:val="00C41197"/>
    <w:rsid w:val="00CD00D0"/>
    <w:rsid w:val="00E80340"/>
    <w:rsid w:val="00EE5681"/>
    <w:rsid w:val="00F60E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D3AD"/>
  <w15:docId w15:val="{3E54A7BD-B09B-4294-A98E-B8D5D3B2B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ED761-A490-4B07-A538-3407BA400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5711</Words>
  <Characters>3256</Characters>
  <Application>Microsoft Office Word</Application>
  <DocSecurity>0</DocSecurity>
  <Lines>27</Lines>
  <Paragraphs>17</Paragraphs>
  <ScaleCrop>false</ScaleCrop>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viedoklu_parskats_24-TA-118.docx</dc:title>
  <cp:lastModifiedBy>Tatjana Alekse</cp:lastModifiedBy>
  <cp:revision>23</cp:revision>
  <dcterms:created xsi:type="dcterms:W3CDTF">2024-04-02T14:00:00Z</dcterms:created>
  <dcterms:modified xsi:type="dcterms:W3CDTF">2024-04-02T19:26:00Z</dcterms:modified>
</cp:coreProperties>
</file>