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DDCC" w14:textId="2983DB2F" w:rsidR="00470F6D" w:rsidRDefault="00470F6D" w:rsidP="00470F6D">
      <w:pPr>
        <w:spacing w:before="240" w:after="240"/>
        <w:rPr>
          <w:b/>
          <w:sz w:val="28"/>
        </w:rPr>
      </w:pPr>
      <w:r>
        <w:rPr>
          <w:b/>
          <w:sz w:val="28"/>
        </w:rPr>
        <w:t>26-TA-74</w:t>
      </w:r>
      <w:r w:rsidR="009A0FBD">
        <w:rPr>
          <w:b/>
          <w:sz w:val="28"/>
        </w:rPr>
        <w:t>9</w:t>
      </w:r>
      <w:r>
        <w:rPr>
          <w:b/>
          <w:sz w:val="28"/>
        </w:rPr>
        <w:t>: Likumprojekts (Grozījumi)</w:t>
      </w:r>
    </w:p>
    <w:p w14:paraId="24B4BB18" w14:textId="38D32FA1" w:rsidR="00470F6D" w:rsidRDefault="00470F6D" w:rsidP="009076DA">
      <w:pPr>
        <w:pStyle w:val="titleparagraph"/>
      </w:pPr>
      <w:r>
        <w:t xml:space="preserve">Grozījumi </w:t>
      </w:r>
      <w:r w:rsidR="009076DA" w:rsidRPr="009076DA">
        <w:rPr>
          <w:bCs/>
        </w:rPr>
        <w:t xml:space="preserve">Starptautisko un Latvijas Republikas nacionālo sankciju </w:t>
      </w:r>
      <w:r>
        <w:t>likumā</w:t>
      </w:r>
    </w:p>
    <w:p w14:paraId="0DE7E459" w14:textId="1C647133" w:rsidR="00293D94" w:rsidRPr="00293D94" w:rsidRDefault="00293D94" w:rsidP="00293D94">
      <w:r>
        <w:t>Iebildumi, kas iesniegti Finanšu ministrijai ārpus TAP</w:t>
      </w:r>
    </w:p>
    <w:tbl>
      <w:tblPr>
        <w:tblW w:w="14857" w:type="dxa"/>
        <w:tblInd w:w="-29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10"/>
        <w:gridCol w:w="1842"/>
        <w:gridCol w:w="4536"/>
        <w:gridCol w:w="4820"/>
        <w:gridCol w:w="2949"/>
      </w:tblGrid>
      <w:tr w:rsidR="00470F6D" w14:paraId="2762B0A5" w14:textId="77777777" w:rsidTr="00360B15">
        <w:tc>
          <w:tcPr>
            <w:tcW w:w="710" w:type="dxa"/>
            <w:shd w:val="clear" w:color="auto" w:fill="FFFFFF"/>
            <w:noWrap/>
            <w:tcMar>
              <w:top w:w="75" w:type="dxa"/>
              <w:left w:w="75" w:type="dxa"/>
              <w:bottom w:w="75" w:type="dxa"/>
              <w:right w:w="75" w:type="dxa"/>
            </w:tcMar>
            <w:vAlign w:val="center"/>
          </w:tcPr>
          <w:p w14:paraId="447A5558" w14:textId="77777777" w:rsidR="00470F6D" w:rsidRDefault="00470F6D" w:rsidP="00360B15">
            <w:pPr>
              <w:jc w:val="center"/>
              <w:rPr>
                <w:b/>
              </w:rPr>
            </w:pPr>
            <w:r>
              <w:rPr>
                <w:b/>
              </w:rPr>
              <w:t>Nr.p.k.</w:t>
            </w:r>
          </w:p>
        </w:tc>
        <w:tc>
          <w:tcPr>
            <w:tcW w:w="1842" w:type="dxa"/>
            <w:shd w:val="clear" w:color="auto" w:fill="FFFFFF"/>
            <w:noWrap/>
            <w:tcMar>
              <w:top w:w="75" w:type="dxa"/>
              <w:left w:w="75" w:type="dxa"/>
              <w:bottom w:w="75" w:type="dxa"/>
              <w:right w:w="75" w:type="dxa"/>
            </w:tcMar>
            <w:vAlign w:val="center"/>
          </w:tcPr>
          <w:p w14:paraId="2428F1B4" w14:textId="77777777" w:rsidR="00470F6D" w:rsidRDefault="00470F6D" w:rsidP="00360B15">
            <w:pPr>
              <w:jc w:val="center"/>
              <w:rPr>
                <w:b/>
              </w:rPr>
            </w:pPr>
            <w:r>
              <w:rPr>
                <w:b/>
              </w:rPr>
              <w:t>Saskaņošanai nosūtītā projekta redakcija</w:t>
            </w:r>
          </w:p>
        </w:tc>
        <w:tc>
          <w:tcPr>
            <w:tcW w:w="4536" w:type="dxa"/>
            <w:shd w:val="clear" w:color="auto" w:fill="FFFFFF"/>
            <w:noWrap/>
            <w:tcMar>
              <w:top w:w="75" w:type="dxa"/>
              <w:left w:w="75" w:type="dxa"/>
              <w:bottom w:w="75" w:type="dxa"/>
              <w:right w:w="75" w:type="dxa"/>
            </w:tcMar>
            <w:vAlign w:val="center"/>
          </w:tcPr>
          <w:p w14:paraId="64175D37" w14:textId="77777777" w:rsidR="00470F6D" w:rsidRDefault="00470F6D" w:rsidP="00360B15">
            <w:pPr>
              <w:jc w:val="center"/>
              <w:rPr>
                <w:b/>
              </w:rPr>
            </w:pPr>
            <w:r>
              <w:rPr>
                <w:b/>
              </w:rPr>
              <w:t>Iebildums / Priekšlikums</w:t>
            </w:r>
          </w:p>
          <w:p w14:paraId="51CD4CF9" w14:textId="0C6225D5" w:rsidR="00762B06" w:rsidRDefault="00762B06" w:rsidP="00360B15">
            <w:pPr>
              <w:jc w:val="center"/>
              <w:rPr>
                <w:b/>
              </w:rPr>
            </w:pPr>
          </w:p>
        </w:tc>
        <w:tc>
          <w:tcPr>
            <w:tcW w:w="4820" w:type="dxa"/>
            <w:shd w:val="clear" w:color="auto" w:fill="FFFFFF"/>
            <w:noWrap/>
            <w:tcMar>
              <w:top w:w="75" w:type="dxa"/>
              <w:left w:w="75" w:type="dxa"/>
              <w:bottom w:w="75" w:type="dxa"/>
              <w:right w:w="75" w:type="dxa"/>
            </w:tcMar>
            <w:vAlign w:val="center"/>
          </w:tcPr>
          <w:p w14:paraId="4C0ECA57" w14:textId="77777777" w:rsidR="00470F6D" w:rsidRDefault="00470F6D" w:rsidP="00360B15">
            <w:pPr>
              <w:jc w:val="center"/>
              <w:rPr>
                <w:b/>
              </w:rPr>
            </w:pPr>
            <w:r>
              <w:rPr>
                <w:b/>
              </w:rPr>
              <w:t>Apstrādes informācija</w:t>
            </w:r>
          </w:p>
        </w:tc>
        <w:tc>
          <w:tcPr>
            <w:tcW w:w="2949" w:type="dxa"/>
            <w:shd w:val="clear" w:color="auto" w:fill="FFFFFF"/>
            <w:noWrap/>
            <w:tcMar>
              <w:top w:w="75" w:type="dxa"/>
              <w:left w:w="75" w:type="dxa"/>
              <w:bottom w:w="75" w:type="dxa"/>
              <w:right w:w="75" w:type="dxa"/>
            </w:tcMar>
            <w:vAlign w:val="center"/>
          </w:tcPr>
          <w:p w14:paraId="6E755C4C" w14:textId="77777777" w:rsidR="00470F6D" w:rsidRDefault="00470F6D" w:rsidP="00360B15">
            <w:pPr>
              <w:jc w:val="center"/>
              <w:rPr>
                <w:b/>
              </w:rPr>
            </w:pPr>
            <w:r>
              <w:rPr>
                <w:b/>
              </w:rPr>
              <w:t>Galīgā redakcija</w:t>
            </w:r>
          </w:p>
        </w:tc>
      </w:tr>
      <w:tr w:rsidR="00470F6D" w14:paraId="1F9D148B" w14:textId="77777777" w:rsidTr="00360B15">
        <w:tc>
          <w:tcPr>
            <w:tcW w:w="14857" w:type="dxa"/>
            <w:gridSpan w:val="5"/>
            <w:shd w:val="clear" w:color="auto" w:fill="FFFFFF"/>
            <w:noWrap/>
            <w:tcMar>
              <w:top w:w="75" w:type="dxa"/>
              <w:left w:w="75" w:type="dxa"/>
              <w:bottom w:w="75" w:type="dxa"/>
              <w:right w:w="75" w:type="dxa"/>
            </w:tcMar>
            <w:vAlign w:val="center"/>
          </w:tcPr>
          <w:p w14:paraId="101F661D" w14:textId="77777777" w:rsidR="00470F6D" w:rsidRDefault="00470F6D" w:rsidP="00360B15">
            <w:r>
              <w:rPr>
                <w:b/>
              </w:rPr>
              <w:t>Izsludināšana: 02.04.2026. 14:30</w:t>
            </w:r>
          </w:p>
        </w:tc>
      </w:tr>
      <w:tr w:rsidR="00470F6D" w14:paraId="4CABF7B8" w14:textId="77777777" w:rsidTr="00360B15">
        <w:tc>
          <w:tcPr>
            <w:tcW w:w="710" w:type="dxa"/>
            <w:shd w:val="clear" w:color="auto" w:fill="FFFFFF"/>
            <w:noWrap/>
            <w:tcMar>
              <w:top w:w="75" w:type="dxa"/>
              <w:left w:w="75" w:type="dxa"/>
              <w:bottom w:w="75" w:type="dxa"/>
              <w:right w:w="75" w:type="dxa"/>
            </w:tcMar>
          </w:tcPr>
          <w:p w14:paraId="6829E033" w14:textId="77777777" w:rsidR="00470F6D" w:rsidRDefault="00470F6D" w:rsidP="00360B15">
            <w:r>
              <w:t>1.</w:t>
            </w:r>
          </w:p>
        </w:tc>
        <w:tc>
          <w:tcPr>
            <w:tcW w:w="1842" w:type="dxa"/>
            <w:shd w:val="clear" w:color="auto" w:fill="FFFFFF"/>
            <w:noWrap/>
            <w:tcMar>
              <w:top w:w="75" w:type="dxa"/>
              <w:left w:w="75" w:type="dxa"/>
              <w:bottom w:w="75" w:type="dxa"/>
              <w:right w:w="75" w:type="dxa"/>
            </w:tcMar>
          </w:tcPr>
          <w:p w14:paraId="298AFE36" w14:textId="77777777" w:rsidR="00470F6D" w:rsidRDefault="00470F6D" w:rsidP="00360B15">
            <w:pPr>
              <w:spacing w:after="240"/>
              <w:rPr>
                <w:b/>
              </w:rPr>
            </w:pPr>
            <w:r>
              <w:rPr>
                <w:b/>
              </w:rPr>
              <w:t>Likumprojekts (grozījumi)</w:t>
            </w:r>
          </w:p>
          <w:p w14:paraId="544736DB" w14:textId="1872E855" w:rsidR="00470F6D" w:rsidRDefault="00470F6D" w:rsidP="00360B15">
            <w:r>
              <w:t xml:space="preserve">Grozījumi </w:t>
            </w:r>
            <w:r w:rsidR="009076DA" w:rsidRPr="009076DA">
              <w:rPr>
                <w:bCs/>
              </w:rPr>
              <w:t xml:space="preserve">Starptautisko un Latvijas Republikas nacionālo sankciju </w:t>
            </w:r>
            <w:r>
              <w:t>likumā</w:t>
            </w:r>
          </w:p>
        </w:tc>
        <w:tc>
          <w:tcPr>
            <w:tcW w:w="4536" w:type="dxa"/>
            <w:shd w:val="clear" w:color="auto" w:fill="FFFFFF"/>
            <w:noWrap/>
            <w:tcMar>
              <w:top w:w="75" w:type="dxa"/>
              <w:left w:w="75" w:type="dxa"/>
              <w:bottom w:w="75" w:type="dxa"/>
              <w:right w:w="75" w:type="dxa"/>
            </w:tcMar>
          </w:tcPr>
          <w:p w14:paraId="57F5C429" w14:textId="77777777" w:rsidR="009076DA" w:rsidRPr="00293D94" w:rsidRDefault="009076DA" w:rsidP="009076DA">
            <w:pPr>
              <w:spacing w:after="240"/>
              <w:rPr>
                <w:b/>
              </w:rPr>
            </w:pPr>
            <w:r w:rsidRPr="00434067">
              <w:rPr>
                <w:b/>
              </w:rPr>
              <w:t xml:space="preserve">Iebildums </w:t>
            </w:r>
            <w:r w:rsidRPr="00293D94">
              <w:rPr>
                <w:b/>
              </w:rPr>
              <w:t>(SIA “Credit Solutions”– 20.04.2026)</w:t>
            </w:r>
          </w:p>
          <w:p w14:paraId="70AD7B5C" w14:textId="1F062FA8" w:rsidR="009076DA" w:rsidRPr="009076DA" w:rsidRDefault="009076DA" w:rsidP="009076DA">
            <w:pPr>
              <w:spacing w:after="240"/>
            </w:pPr>
            <w:r w:rsidRPr="009076DA">
              <w:t xml:space="preserve">Likumprojekts balstīts pieņēmumā, ka Starptautisko un Latvijas Republikas nacionālo sankciju likumā (turpmāk – Sankciju likums) noteiktās Patērētāju tiesību aizsardzības centra (turpmāk – PTAC) funkcijas no 2027. gada 1. janvāra tiks nodotas Latvijas Bankai. Anotācijā piedāvātais risinājums pēc būtības balstās pieņēmumā, ka patērētāju tiesību aizsardzības funkciju pāreja uz Latvijas Banku automātiski ietver arī sankciju uzraudzības funkcijas nodošanu attiecībā uz patērētāju kreditēšanas pakalpojumu sniedzējiem. Šāds pieņēmums nav juridiski pamatots, un anotācijā tam netiek sniegts pierādījumos balstīts pamatojums. </w:t>
            </w:r>
          </w:p>
          <w:p w14:paraId="4A626BF6" w14:textId="77777777" w:rsidR="009076DA" w:rsidRPr="009076DA" w:rsidRDefault="009076DA" w:rsidP="009076DA">
            <w:pPr>
              <w:spacing w:after="240"/>
            </w:pPr>
            <w:r w:rsidRPr="009076DA">
              <w:lastRenderedPageBreak/>
              <w:t xml:space="preserve">Sabiedrība kopumā neatbalsta PTAC regulatīvo un uzraudzības funkciju pār nebanku kreditētājiem nodošanu Latvijas Bankai un attiecīgi iebilst pret Likumprojekta priekšlikumu. Sabiedrība uzskata, ka piedāvātā regulatora maiņa nav nepieciešama un var radīt arī pretēju efektu iecerētajam. Neraugoties uz reformu virzību, joprojām nav pietiekami skaidri pamatots, kādēļ šāda funkciju nodošana ir nepieciešama. Lai gan tiek norādīts, ka reformas mērķis ir samazināt administratīvo slogu un nodrošināt caurspīdīgu un vienotu kreditētāju uzraudzības un kontroles pieeju, pastāv pamatots risks, ka praksē tā varētu būtiski sarežģīt normatīvo un uzņēmējdarbības vidi, vienlaikus nesniedzot skaidrojumu, kā minētie mērķi tiks sasniegti. Turklāt līdz šim nav sniegti pierādījumi, kas apliecinātu PTAC nespēju pienācīgi pildīt tam noteikto uzraudzības funkciju un tādējādi attaisnotu uzraudzības pilnvaru nodošanu citai institūcijai. Sabiedrība uzskata, ka jebkurai normatīvā regulējuma reformai ir jābūt balstītai konkrētu trūkumu identificēšanā un izmērāmos uzlabojumos, nevis institucionālās struktūras pašas par sevi pārveidē. </w:t>
            </w:r>
          </w:p>
          <w:p w14:paraId="3CD499CE" w14:textId="77777777" w:rsidR="009076DA" w:rsidRPr="009076DA" w:rsidRDefault="009076DA" w:rsidP="009076DA">
            <w:pPr>
              <w:spacing w:after="240"/>
              <w:rPr>
                <w:b/>
                <w:bCs/>
              </w:rPr>
            </w:pPr>
            <w:r w:rsidRPr="009076DA">
              <w:rPr>
                <w:b/>
                <w:bCs/>
              </w:rPr>
              <w:t xml:space="preserve">1. Par sankciju uzraudzības īpatnībām patērētāju kreditēšanas nozarē </w:t>
            </w:r>
          </w:p>
          <w:p w14:paraId="431D3AB8" w14:textId="77777777" w:rsidR="009076DA" w:rsidRPr="009076DA" w:rsidRDefault="009076DA" w:rsidP="009076DA">
            <w:pPr>
              <w:spacing w:after="240"/>
            </w:pPr>
            <w:r w:rsidRPr="009076DA">
              <w:t xml:space="preserve">Anotācijā nav pienācīgi izvērtēts, ka patērētāju kreditēšanas tirgus būtiski atšķiras no tiem finanšu tirgus segmentiem, kurus </w:t>
            </w:r>
            <w:r w:rsidRPr="009076DA">
              <w:lastRenderedPageBreak/>
              <w:t xml:space="preserve">Latvijas Banka tradicionāli uzrauga, tostarp pēc darījumu struktūras, klientu loka, darbības modeļiem un sankciju risku profila. </w:t>
            </w:r>
          </w:p>
          <w:p w14:paraId="03AB9C5F" w14:textId="4B5F0365" w:rsidR="009076DA" w:rsidRPr="009076DA" w:rsidRDefault="009076DA" w:rsidP="009076DA">
            <w:pPr>
              <w:spacing w:after="240"/>
            </w:pPr>
            <w:r w:rsidRPr="009076DA">
              <w:t xml:space="preserve">Būtiski uzsvērt, ka PTAC kapacitāte un uzraudzības prakse līdz šim ir bijusi šauri fokusēta tieši uz patērētāju kreditēšanas nozari, kas ir ļāvusi detalizēti un individuāli izvērtēt katru uzraugāmo subjektu, ņemot vērā tā darbības specifiku, riskus un faktisko praksi. Savukārt Latvijas Bankas institucionālais skatījums pēc būtības ir vērsts uz finanšu tirgu kopumā un plašākiem sistēmiskiem jautājumiem, kas rada risku, ka patērētāju kreditēšanas segmentam raksturīgās būtiskās nianses sankciju piemērošanā var netikt pietiekami ņemtas vērā. </w:t>
            </w:r>
          </w:p>
          <w:p w14:paraId="699AA4AD" w14:textId="77777777" w:rsidR="009076DA" w:rsidRPr="009076DA" w:rsidRDefault="009076DA" w:rsidP="009076DA">
            <w:pPr>
              <w:spacing w:after="240"/>
            </w:pPr>
            <w:r w:rsidRPr="009076DA">
              <w:t xml:space="preserve">Likumprojekta anotācijā nav sniegts pamatojums tam, ka Latvijas Bankas līdzšinējā sankciju uzraudzības pieredze ir pilnībā un bez riskiem pārnesama uz patērētāju kreditēšanas nozari. </w:t>
            </w:r>
          </w:p>
          <w:p w14:paraId="6CAC7B94" w14:textId="77777777" w:rsidR="009076DA" w:rsidRPr="009076DA" w:rsidRDefault="009076DA" w:rsidP="009076DA">
            <w:pPr>
              <w:spacing w:after="240"/>
              <w:rPr>
                <w:b/>
                <w:bCs/>
              </w:rPr>
            </w:pPr>
            <w:r w:rsidRPr="009076DA">
              <w:rPr>
                <w:b/>
                <w:bCs/>
              </w:rPr>
              <w:t xml:space="preserve">2. Par institucionālās gatavības nodrošinājumu sankciju uzraudzībai </w:t>
            </w:r>
          </w:p>
          <w:p w14:paraId="300DCAD6" w14:textId="77777777" w:rsidR="009076DA" w:rsidRPr="009076DA" w:rsidRDefault="009076DA" w:rsidP="009076DA">
            <w:pPr>
              <w:spacing w:after="240"/>
            </w:pPr>
            <w:r w:rsidRPr="009076DA">
              <w:t xml:space="preserve">Anotācijā nav sniegta informācija par to, vai Latvijas Bankai ir izstrādāta speciāla metodoloģija sankciju uzraudzībai patērētāju kreditēšanas jomā, kā arī nav norādīts, vai ir paredzēti atbilstoši resursi, specializēts personāls un pielāgotas iekšējās procedūras. </w:t>
            </w:r>
            <w:r w:rsidRPr="009076DA">
              <w:lastRenderedPageBreak/>
              <w:t xml:space="preserve">Tāpat nav skaidrots, vai tirgus dalībniekiem būs pieejamas pārejas perioda vadlīnijas. </w:t>
            </w:r>
          </w:p>
          <w:p w14:paraId="1C2B4724" w14:textId="77777777" w:rsidR="009076DA" w:rsidRPr="009076DA" w:rsidRDefault="009076DA" w:rsidP="009076DA">
            <w:pPr>
              <w:spacing w:after="240"/>
            </w:pPr>
            <w:r w:rsidRPr="009076DA">
              <w:t xml:space="preserve">Ņemot vērā sankciju regulējuma represīvo raksturu un tā potenciāli būtisko ietekmi uz komersantu tiesībām un pienākumiem, anotācijā pieļautais informācijas trūkums nav uzskatāms par pieņemamu. </w:t>
            </w:r>
          </w:p>
          <w:p w14:paraId="4354E9EC" w14:textId="77777777" w:rsidR="009076DA" w:rsidRPr="009076DA" w:rsidRDefault="009076DA" w:rsidP="009076DA">
            <w:pPr>
              <w:spacing w:after="240"/>
              <w:rPr>
                <w:b/>
                <w:bCs/>
              </w:rPr>
            </w:pPr>
            <w:r w:rsidRPr="009076DA">
              <w:rPr>
                <w:b/>
                <w:bCs/>
              </w:rPr>
              <w:t xml:space="preserve">3. Par pārejas regulējuma pietiekamību </w:t>
            </w:r>
          </w:p>
          <w:p w14:paraId="2B9EE544" w14:textId="77777777" w:rsidR="009076DA" w:rsidRPr="009076DA" w:rsidRDefault="009076DA" w:rsidP="009076DA">
            <w:pPr>
              <w:spacing w:after="240"/>
            </w:pPr>
            <w:r w:rsidRPr="009076DA">
              <w:t xml:space="preserve">Paredzētais pārejas regulējums ir vispārīgs un nesniedz skaidras atbildes uz praktiski nozīmīgiem jautājumiem, tostarp par ilgstošu sankciju pārkāpumu situāciju turpinājumu pēc 2027. gada 1. janvāra un par procesuālo darbību veikšanu jau uzsāktās lietās pēc kompetences maiņas. </w:t>
            </w:r>
          </w:p>
          <w:p w14:paraId="09CE3613" w14:textId="77777777" w:rsidR="009076DA" w:rsidRPr="009076DA" w:rsidRDefault="009076DA" w:rsidP="009076DA">
            <w:pPr>
              <w:spacing w:after="240"/>
            </w:pPr>
            <w:r w:rsidRPr="009076DA">
              <w:t xml:space="preserve">Šāda pieeja nenodrošina vienotu un paredzamu uzraudzības praksi institucionālās pārejas periodā un rada tiesiskās neskaidrības risku. </w:t>
            </w:r>
          </w:p>
          <w:p w14:paraId="46FD3E9C" w14:textId="77777777" w:rsidR="009076DA" w:rsidRPr="009076DA" w:rsidRDefault="009076DA" w:rsidP="009076DA">
            <w:pPr>
              <w:spacing w:after="240"/>
              <w:rPr>
                <w:b/>
                <w:bCs/>
              </w:rPr>
            </w:pPr>
            <w:r w:rsidRPr="009076DA">
              <w:rPr>
                <w:b/>
                <w:bCs/>
              </w:rPr>
              <w:t xml:space="preserve">4. Par sankciju piemērošanas </w:t>
            </w:r>
            <w:proofErr w:type="spellStart"/>
            <w:r w:rsidRPr="009076DA">
              <w:rPr>
                <w:b/>
                <w:bCs/>
              </w:rPr>
              <w:t>paredzamību</w:t>
            </w:r>
            <w:proofErr w:type="spellEnd"/>
            <w:r w:rsidRPr="009076DA">
              <w:rPr>
                <w:b/>
                <w:bCs/>
              </w:rPr>
              <w:t xml:space="preserve"> un vienlīdzību </w:t>
            </w:r>
          </w:p>
          <w:p w14:paraId="7C57B9FD" w14:textId="77777777" w:rsidR="009076DA" w:rsidRPr="009076DA" w:rsidRDefault="009076DA" w:rsidP="009076DA">
            <w:pPr>
              <w:spacing w:after="240"/>
            </w:pPr>
            <w:r w:rsidRPr="009076DA">
              <w:t xml:space="preserve">Anotācijā nav analizēts, ka PTAC un Latvijas Bankai objektīvi atšķiras uzraudzības prakses, institucionālā pieeja un sankciju piemērošanas metodoloģija. Šādas atšķirības var novest pie situācijām, kurās identiski pārkāpumi tiek vērtēti atšķirīgi atkarībā no uzraugošās iestādes vai laika perioda, tādējādi </w:t>
            </w:r>
            <w:r w:rsidRPr="009076DA">
              <w:lastRenderedPageBreak/>
              <w:t xml:space="preserve">mazinot sankciju piemērošanas </w:t>
            </w:r>
            <w:proofErr w:type="spellStart"/>
            <w:r w:rsidRPr="009076DA">
              <w:t>paredzamību</w:t>
            </w:r>
            <w:proofErr w:type="spellEnd"/>
            <w:r w:rsidRPr="009076DA">
              <w:t xml:space="preserve"> tirgus dalībniekiem. </w:t>
            </w:r>
          </w:p>
          <w:p w14:paraId="4C871E83" w14:textId="77777777" w:rsidR="009076DA" w:rsidRPr="009076DA" w:rsidRDefault="009076DA" w:rsidP="009076DA">
            <w:pPr>
              <w:spacing w:after="240"/>
            </w:pPr>
            <w:r w:rsidRPr="009076DA">
              <w:t xml:space="preserve">Tas rada riskus vienlīdzīgas attieksmes un samērīguma principu ievērošanai administratīvās sankciju piemērošanas procesā. </w:t>
            </w:r>
          </w:p>
          <w:p w14:paraId="76AA6E50" w14:textId="77777777" w:rsidR="009076DA" w:rsidRPr="009076DA" w:rsidRDefault="009076DA" w:rsidP="009076DA">
            <w:pPr>
              <w:spacing w:after="240"/>
              <w:rPr>
                <w:b/>
                <w:bCs/>
              </w:rPr>
            </w:pPr>
            <w:r w:rsidRPr="009076DA">
              <w:rPr>
                <w:b/>
                <w:bCs/>
              </w:rPr>
              <w:t xml:space="preserve">5. Par ietekmes uz tirgus dalībniekiem izvērtējumu </w:t>
            </w:r>
          </w:p>
          <w:p w14:paraId="0356F465" w14:textId="77777777" w:rsidR="009076DA" w:rsidRPr="009076DA" w:rsidRDefault="009076DA" w:rsidP="009076DA">
            <w:pPr>
              <w:spacing w:after="240"/>
            </w:pPr>
            <w:r w:rsidRPr="009076DA">
              <w:t xml:space="preserve">Anotācijā nav veikts visaptverošs ietekmes izvērtējums uz patērētāju kreditēšanas pakalpojumu sniedzējiem, kuriem grozījumu rezultātā būtu jāpielāgo sankciju atbilstības sistēmas, jāmaina uzraugošā iestāde un jādarbojas jaunā, praksē vēl nezināmā uzraudzības modelī. Šādas analīzes trūkums rada šaubas par grozījumu atbilstību labas likumdošanas prasībām. </w:t>
            </w:r>
          </w:p>
          <w:p w14:paraId="5CE7849F" w14:textId="39EA6796" w:rsidR="00470F6D" w:rsidRDefault="009076DA" w:rsidP="009076DA">
            <w:r w:rsidRPr="009076DA">
              <w:t>Ņemot vērā, ka līdzšinējā PTAC īstenotajā sankciju uzraudzībā patērētāju kreditēšanas nozarē nav konstatēti sistēmiski trūkumi, kā arī to, ka Likumprojekta anotācijā nav sniegts pietiekams juridisks, faktisks un institucionāls pamatojums sankciju uzraudzības kompetences pārdalei, secināms, ka piedāvātie grozījumi nav nepieciešami, nav pienācīgi pamatoti un līdz ar to nav atbalstāmi.</w:t>
            </w:r>
          </w:p>
        </w:tc>
        <w:tc>
          <w:tcPr>
            <w:tcW w:w="4820" w:type="dxa"/>
            <w:shd w:val="clear" w:color="auto" w:fill="FFFFFF"/>
            <w:noWrap/>
            <w:tcMar>
              <w:top w:w="75" w:type="dxa"/>
              <w:left w:w="75" w:type="dxa"/>
              <w:bottom w:w="75" w:type="dxa"/>
              <w:right w:w="75" w:type="dxa"/>
            </w:tcMar>
          </w:tcPr>
          <w:p w14:paraId="78FC4751" w14:textId="77777777" w:rsidR="00D1702A" w:rsidRDefault="00D1702A" w:rsidP="00D1702A">
            <w:pPr>
              <w:rPr>
                <w:b/>
                <w:bCs/>
              </w:rPr>
            </w:pPr>
            <w:r w:rsidRPr="00D771D4">
              <w:rPr>
                <w:b/>
                <w:bCs/>
              </w:rPr>
              <w:lastRenderedPageBreak/>
              <w:t>Nav ņemts vērā</w:t>
            </w:r>
          </w:p>
          <w:p w14:paraId="0148F12E" w14:textId="77777777" w:rsidR="00D1702A" w:rsidRDefault="00D1702A" w:rsidP="00D1702A">
            <w:pPr>
              <w:jc w:val="center"/>
              <w:rPr>
                <w:b/>
                <w:bCs/>
              </w:rPr>
            </w:pPr>
          </w:p>
          <w:p w14:paraId="665923D6" w14:textId="77777777" w:rsidR="00D1702A" w:rsidRDefault="00D1702A" w:rsidP="00D1702A">
            <w:pPr>
              <w:rPr>
                <w:b/>
                <w:bCs/>
              </w:rPr>
            </w:pPr>
            <w:r w:rsidRPr="001A0482">
              <w:rPr>
                <w:b/>
                <w:bCs/>
              </w:rPr>
              <w:t xml:space="preserve">I </w:t>
            </w:r>
            <w:r>
              <w:rPr>
                <w:b/>
                <w:bCs/>
              </w:rPr>
              <w:t>P</w:t>
            </w:r>
            <w:r w:rsidRPr="001A0482">
              <w:rPr>
                <w:b/>
                <w:bCs/>
              </w:rPr>
              <w:t>ar reformas pamato</w:t>
            </w:r>
            <w:r>
              <w:rPr>
                <w:b/>
                <w:bCs/>
              </w:rPr>
              <w:t>tību</w:t>
            </w:r>
          </w:p>
          <w:p w14:paraId="04C0B671" w14:textId="77777777" w:rsidR="00D1702A" w:rsidRPr="00F15CC9" w:rsidRDefault="00D1702A" w:rsidP="00D1702A">
            <w:pPr>
              <w:rPr>
                <w:b/>
                <w:bCs/>
              </w:rPr>
            </w:pPr>
          </w:p>
          <w:p w14:paraId="7023C8FE" w14:textId="77777777" w:rsidR="00D1702A" w:rsidRDefault="00D1702A" w:rsidP="00D1702A">
            <w:r>
              <w:t>Skaidrojam, ka a</w:t>
            </w:r>
            <w:r w:rsidRPr="00E4498E">
              <w:t>r likumprojekt</w:t>
            </w:r>
            <w:r>
              <w:t>u pakotnē</w:t>
            </w:r>
            <w:r w:rsidRPr="00E4498E">
              <w:t xml:space="preserve"> ietvertajiem</w:t>
            </w:r>
            <w:r>
              <w:t xml:space="preserve"> 13 likumu</w:t>
            </w:r>
            <w:r w:rsidRPr="00E4498E">
              <w:t xml:space="preserve"> grozījumiem</w:t>
            </w:r>
            <w:r>
              <w:t>, tajā skaitā likumprojektu,</w:t>
            </w:r>
            <w:r w:rsidRPr="00E4498E">
              <w:t xml:space="preserve">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14:paraId="27E29E1A" w14:textId="77777777" w:rsidR="00D1702A" w:rsidRDefault="00D1702A" w:rsidP="00D1702A"/>
          <w:p w14:paraId="3BD81F97" w14:textId="77777777" w:rsidR="00D1702A" w:rsidRDefault="00D1702A" w:rsidP="00D1702A">
            <w:r>
              <w:t xml:space="preserve">Diskurss par patērētāju kreditēšanas uzraudzības sistēmas reformu jau pirms likumprojektu </w:t>
            </w:r>
            <w:r>
              <w:lastRenderedPageBreak/>
              <w:t xml:space="preserve">pakotnes izstrādes ir bijis ilgs un pietiekami izdiskutēts gan valsts institūciju, gan nozares nevalstiskā sektora ietvarā. </w:t>
            </w:r>
          </w:p>
          <w:p w14:paraId="6D40BD05" w14:textId="77777777" w:rsidR="00D1702A" w:rsidRPr="00D61B3D" w:rsidRDefault="00D1702A" w:rsidP="00D1702A">
            <w:r>
              <w:t xml:space="preserve">Diskusijas par </w:t>
            </w:r>
            <w:r w:rsidRPr="00F31FD1">
              <w:t>patērētāju kreditēšanas uzraudzības un licencēšanas, kā arī patērētāju tiesību un interešu aizsardzīb</w:t>
            </w:r>
            <w:r>
              <w:t>as</w:t>
            </w:r>
            <w:r w:rsidRPr="00F31FD1">
              <w:t xml:space="preserve"> finanšu sektorā nodošanu vienai institūcijai</w:t>
            </w:r>
            <w:r>
              <w:t xml:space="preserve"> </w:t>
            </w:r>
            <w:r w:rsidRPr="00F31FD1">
              <w:t>tika uzsākta</w:t>
            </w:r>
            <w:r>
              <w:t>s</w:t>
            </w:r>
            <w:r w:rsidRPr="00F31FD1">
              <w:t xml:space="preserve"> jau 2025. gada</w:t>
            </w:r>
            <w:r>
              <w:t xml:space="preserve"> </w:t>
            </w:r>
            <w:r w:rsidRPr="00F31FD1">
              <w:t xml:space="preserve">sākumā Ekonomikas ministrijas sagatavotā </w:t>
            </w:r>
            <w:r>
              <w:t>r</w:t>
            </w:r>
            <w:r w:rsidRPr="00F31FD1">
              <w:t xml:space="preserve">īcības plāna projekta ietvaros. Ar Ministru kabineta </w:t>
            </w:r>
            <w:r>
              <w:t xml:space="preserve">15.07.2025. </w:t>
            </w:r>
            <w:r w:rsidRPr="00F31FD1">
              <w:t xml:space="preserve"> rīkojumu Nr.422 “Rīcības plāns investīciju piesaistei un finanšu pieejamībai tautsaimniecībā” (prot. Nr. 28 50. §) tika apstiprināts Rīcības plāns, kura 14. virzienā Ekonomikas ministrija identificēj</w:t>
            </w:r>
            <w:r>
              <w:t>a</w:t>
            </w:r>
            <w:r w:rsidRPr="00F31FD1">
              <w:t xml:space="preserve"> kreditēšanas pakalpojumu sniedzēju sadrumstalotas uzraudzības problemātiku un attiecīgi uzdev</w:t>
            </w:r>
            <w:r>
              <w:t>a</w:t>
            </w:r>
            <w:r w:rsidRPr="00F31FD1">
              <w:t xml:space="preserve"> Finanšu ministrijai izstrādāt informatīvā ziņojum</w:t>
            </w:r>
            <w:r>
              <w:t xml:space="preserve">u ar </w:t>
            </w:r>
            <w:r w:rsidRPr="00D61B3D">
              <w:t xml:space="preserve">izvērtējumu par vienotas kreditētāju uzraudzības un kontroles institūcijas noteikšanu, tādējādi samazinot birokrātisko slogu un nodrošinot caurskatāmu vienotu pieeju kreditētāju uzraudzībā un kontrolē. Vienlaikus </w:t>
            </w:r>
            <w:r>
              <w:t>tika noteikta</w:t>
            </w:r>
            <w:r w:rsidRPr="00D61B3D">
              <w:t xml:space="preserve"> nepieciešamību izvērtēt arī Lietuvas pieredzi, kur visu kreditētāju, kuru uzraudzību neveic Eiropas Centrālā banka, uzraudzība ir nodota Lietuvas Bankai.</w:t>
            </w:r>
          </w:p>
          <w:p w14:paraId="67A0487F" w14:textId="77777777" w:rsidR="00D1702A" w:rsidRDefault="00D1702A" w:rsidP="00D1702A">
            <w:r w:rsidRPr="0056712A">
              <w:t>Finanšu ministrija</w:t>
            </w:r>
            <w:r>
              <w:t xml:space="preserve"> izstrādāja</w:t>
            </w:r>
            <w:r w:rsidRPr="0056712A">
              <w:t xml:space="preserve"> informatīv</w:t>
            </w:r>
            <w:r>
              <w:t>o</w:t>
            </w:r>
            <w:r w:rsidRPr="0056712A">
              <w:t xml:space="preserve"> ziņojum</w:t>
            </w:r>
            <w:r>
              <w:t xml:space="preserve">u </w:t>
            </w:r>
            <w:r w:rsidRPr="0056712A">
              <w:t>“Par vienotas patērētāju kreditētāju licencēšanas un uzraudzības institūcijas noteikšanu”</w:t>
            </w:r>
            <w:r>
              <w:t xml:space="preserve"> </w:t>
            </w:r>
            <w:r w:rsidRPr="00D53237">
              <w:t xml:space="preserve">(25-TA-3014) </w:t>
            </w:r>
            <w:r>
              <w:t xml:space="preserve">(turpmāk – Informatīvais ziņojums), kura izstrādes laikā, kā arī oficiālajā sabiedriskās apspriešanas procesā tika uzklausītas praktiski visas nozares  </w:t>
            </w:r>
            <w:r>
              <w:lastRenderedPageBreak/>
              <w:t xml:space="preserve">asociācijas, kā arī individuāli patērētāju kreditētāji, un tā apspriešanai tika organizēta sanāksme. </w:t>
            </w:r>
            <w:r w:rsidRPr="00D53237">
              <w:t>TAP pieejami atzinumi un izziņa par sniegtajiem iebildumiem un priekšlikumiem  pie minētā informatīvā ziņojuma.</w:t>
            </w:r>
          </w:p>
          <w:p w14:paraId="0B0A2EB2" w14:textId="77777777" w:rsidR="00D1702A" w:rsidRDefault="00D1702A" w:rsidP="00D1702A">
            <w:r>
              <w:t>Informatīvā ziņojuma projekts tika arī izskatīts un atbalstīts Finanšu sektora attīstības padomes (</w:t>
            </w:r>
            <w:r w:rsidRPr="00430A8D">
              <w:t xml:space="preserve">turpmāk – </w:t>
            </w:r>
            <w:r>
              <w:t>FSAP) 09.12.2025. sēdē, tajā skaitā, piedaloties finanšu nozares asociācijām.</w:t>
            </w:r>
          </w:p>
          <w:p w14:paraId="20AE0E20" w14:textId="77777777" w:rsidR="00D1702A" w:rsidRDefault="00D1702A" w:rsidP="00D1702A"/>
          <w:p w14:paraId="5060A296" w14:textId="77777777" w:rsidR="00D1702A" w:rsidRDefault="00D1702A" w:rsidP="00D1702A">
            <w:r>
              <w:t>Ar I</w:t>
            </w:r>
            <w:r w:rsidRPr="00E3061F">
              <w:t>nformatīv</w:t>
            </w:r>
            <w:r>
              <w:t>o</w:t>
            </w:r>
            <w:r w:rsidRPr="00E3061F">
              <w:t xml:space="preserve"> ziņojum</w:t>
            </w:r>
            <w:r>
              <w:t>u</w:t>
            </w:r>
            <w:r w:rsidRPr="00E3061F">
              <w:t xml:space="preserve"> </w:t>
            </w:r>
            <w:r>
              <w:t xml:space="preserve">tika </w:t>
            </w:r>
            <w:r w:rsidRPr="00E3061F">
              <w:t>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w:t>
            </w:r>
            <w:r>
              <w:t>as modelis.</w:t>
            </w:r>
          </w:p>
          <w:p w14:paraId="264A40D7" w14:textId="77777777" w:rsidR="00D1702A" w:rsidRDefault="00D1702A" w:rsidP="00D1702A">
            <w:r>
              <w:t xml:space="preserve">Tāpat minams, ka FSAP </w:t>
            </w:r>
            <w:r w:rsidRPr="00354F2F">
              <w:t>09.12.2025</w:t>
            </w:r>
            <w:r>
              <w:t xml:space="preserve">. sēdē arī tika iekļauts un izskatīts jautājums par vienotas nebanku kreditētāju uzraudzības un kontroles institūcijas noteikšanu. Šajā FSAP sēdē lēmuma pieņemšanai tika piedāvāti divi iespējamie risinājuma varianti: 1.variants – ar normatīvā regulējuma palīdzību skaidrāk noteikt praktiskās uzraudzības jomas robežas starp Patērētāju tiesību centru (turpmāk – PTAC) un Valsts ieņēmumu dienestu uzraudzībā esošajiem subjektiem; 2.variants – patērētāju kreditēšanas pakalpojumu sniedzēju licencēšanas un uzraudzības funkcijas, patērētāju – finanšu pakalpojumu saņēmēju – tiesību un interešu aizsardzības funkcijas un negodīgas </w:t>
            </w:r>
            <w:r>
              <w:lastRenderedPageBreak/>
              <w:t>komercprakses uzraudzības finanšu pakalpojumu jomā funkcijas nodošanu no PTAC Latvijas Bankai. FSAP sēdē tika nolemts virzīt tālāk piedāvāto 2. variantu.</w:t>
            </w:r>
          </w:p>
          <w:p w14:paraId="09A6449C" w14:textId="77777777" w:rsidR="00D1702A" w:rsidRDefault="00D1702A" w:rsidP="00D1702A"/>
          <w:p w14:paraId="4AA2D99B" w14:textId="77777777" w:rsidR="00D1702A" w:rsidRPr="009B33BB" w:rsidRDefault="00D1702A" w:rsidP="00D1702A">
            <w:r>
              <w:t>Vienlaikus atzīmējams, l</w:t>
            </w:r>
            <w:r w:rsidRPr="009B33BB">
              <w:t xml:space="preserve">ai nodrošinātu to, ka </w:t>
            </w:r>
            <w:r>
              <w:t xml:space="preserve">patērētāju </w:t>
            </w:r>
            <w:r w:rsidRPr="009B33BB">
              <w:t xml:space="preserve">kreditēšanas pakalpojumu sniedzējiem ir saprotams </w:t>
            </w:r>
            <w:r>
              <w:t>plānotais</w:t>
            </w:r>
            <w:r w:rsidRPr="009B33BB">
              <w:t xml:space="preserve"> Latvijas Bankas uzraudzības ietvars, </w:t>
            </w:r>
            <w:r>
              <w:t>Latvijas Banka</w:t>
            </w:r>
            <w:r w:rsidRPr="009B33BB">
              <w:t xml:space="preserve"> sadarbībā ar biedrības "Asociācija Fintech Latvija" biedriem uzsāk</w:t>
            </w:r>
            <w:r>
              <w:t>a</w:t>
            </w:r>
            <w:r w:rsidRPr="009B33BB">
              <w:t xml:space="preserve"> vairāku tematisko virzienu sarunu ciklu, kura ietvaros </w:t>
            </w:r>
            <w:r>
              <w:t>tika izskatīti</w:t>
            </w:r>
            <w:r w:rsidRPr="009B33BB">
              <w:t xml:space="preserve"> galvenie uzraudzības aspekti un izrunāti neskaidrie jautājumi, izveidojot piecas tematiskās sarunu grupas:</w:t>
            </w:r>
          </w:p>
          <w:p w14:paraId="6482ED57" w14:textId="77777777" w:rsidR="00D1702A" w:rsidRPr="009B33BB" w:rsidRDefault="00D1702A" w:rsidP="00D1702A">
            <w:pPr>
              <w:ind w:firstLine="720"/>
            </w:pPr>
            <w:r w:rsidRPr="009B33BB">
              <w:t xml:space="preserve">1) </w:t>
            </w:r>
            <w:r>
              <w:rPr>
                <w:rFonts w:eastAsia="Calibri"/>
              </w:rPr>
              <w:t>n</w:t>
            </w:r>
            <w:r w:rsidRPr="004B0E78">
              <w:rPr>
                <w:rFonts w:eastAsia="Calibri"/>
              </w:rPr>
              <w:t>oziedzīgi iegūtu līdzekļu legalizācijas un terorisma un proliferācijas finansēšanas novēršan</w:t>
            </w:r>
            <w:r>
              <w:rPr>
                <w:rFonts w:eastAsia="Calibri"/>
              </w:rPr>
              <w:t xml:space="preserve">as (turpmāk – </w:t>
            </w:r>
            <w:r w:rsidRPr="009B33BB">
              <w:t>NILLTPFN</w:t>
            </w:r>
            <w:r>
              <w:t>)</w:t>
            </w:r>
            <w:r w:rsidRPr="009B33BB" w:rsidDel="0008057C">
              <w:t xml:space="preserve"> </w:t>
            </w:r>
            <w:r w:rsidRPr="009B33BB">
              <w:t>jautājumi;</w:t>
            </w:r>
          </w:p>
          <w:p w14:paraId="0DD8213D" w14:textId="77777777" w:rsidR="00D1702A" w:rsidRPr="009B33BB" w:rsidRDefault="00D1702A" w:rsidP="00D1702A">
            <w:pPr>
              <w:ind w:firstLine="720"/>
            </w:pPr>
            <w:r w:rsidRPr="009B33BB">
              <w:t>2) kredītrisku/kredītspējas vērtēšana;</w:t>
            </w:r>
          </w:p>
          <w:p w14:paraId="377FD396" w14:textId="77777777" w:rsidR="00D1702A" w:rsidRPr="009B33BB" w:rsidRDefault="00D1702A" w:rsidP="00D1702A">
            <w:pPr>
              <w:ind w:firstLine="720"/>
            </w:pPr>
            <w:r w:rsidRPr="009B33BB">
              <w:t xml:space="preserve">3) </w:t>
            </w:r>
            <w:proofErr w:type="spellStart"/>
            <w:r w:rsidRPr="009B33BB">
              <w:t>pirmslīguma</w:t>
            </w:r>
            <w:proofErr w:type="spellEnd"/>
            <w:r w:rsidRPr="009B33BB">
              <w:t xml:space="preserve"> informācija un līguma saturs;</w:t>
            </w:r>
          </w:p>
          <w:p w14:paraId="3DE504B3" w14:textId="77777777" w:rsidR="00D1702A" w:rsidRDefault="00D1702A" w:rsidP="00D1702A">
            <w:pPr>
              <w:ind w:firstLine="720"/>
            </w:pPr>
            <w:r w:rsidRPr="009B33BB">
              <w:t xml:space="preserve">4) reklāmas ierobežojumi, aizdevumu administrēšana un kvalitātes pārraudzība; </w:t>
            </w:r>
            <w:r w:rsidRPr="009B33BB">
              <w:tab/>
            </w:r>
          </w:p>
          <w:p w14:paraId="15F20D63" w14:textId="77777777" w:rsidR="00D1702A" w:rsidRDefault="00D1702A" w:rsidP="00D1702A">
            <w:pPr>
              <w:ind w:firstLine="720"/>
            </w:pPr>
            <w:r w:rsidRPr="009B33BB">
              <w:t xml:space="preserve">5) pārvaldības jautājumi. </w:t>
            </w:r>
          </w:p>
          <w:p w14:paraId="01F857F3" w14:textId="77777777" w:rsidR="00D1702A" w:rsidRDefault="00D1702A" w:rsidP="00D1702A">
            <w:r w:rsidRPr="00234FF2">
              <w:t xml:space="preserve">Darba grupu ietvaros, izskatot Latvijas Bankas uzraudzības pieeju katrā attiecīgajā tematiskajā jautājumā, notika diskusijas un ir panāktas vienošanās un kopējas izpratnes par pārvaldības sistēmu, </w:t>
            </w:r>
            <w:r w:rsidRPr="18B3CC22">
              <w:rPr>
                <w:rFonts w:eastAsia="Calibri"/>
              </w:rPr>
              <w:t>NILLTPFN</w:t>
            </w:r>
            <w:r w:rsidRPr="00234FF2">
              <w:t xml:space="preserve"> jautājumiem, kredītrisku un kredītspējas novērtēšanas atsevišķiem aspektiem, vienlaikus tiks turpinātas diskusijas par kredītspējas vērtēšanas pieejas pilnveides iespējām un salīdzinājumu ar Lietuvā izmantot modeli, atsevišķiem tehniskiem </w:t>
            </w:r>
            <w:r w:rsidRPr="18B3CC22">
              <w:rPr>
                <w:rFonts w:eastAsia="Calibri"/>
              </w:rPr>
              <w:t>NILLTPFN</w:t>
            </w:r>
            <w:r w:rsidRPr="00234FF2">
              <w:t xml:space="preserve"> </w:t>
            </w:r>
            <w:r>
              <w:lastRenderedPageBreak/>
              <w:t xml:space="preserve">jomas </w:t>
            </w:r>
            <w:r w:rsidRPr="00234FF2">
              <w:t xml:space="preserve">uzraudzības aspektiem, </w:t>
            </w:r>
            <w:r>
              <w:t>K</w:t>
            </w:r>
            <w:r w:rsidRPr="00234FF2">
              <w:t>redīt</w:t>
            </w:r>
            <w:r>
              <w:t xml:space="preserve">u </w:t>
            </w:r>
            <w:r w:rsidRPr="00234FF2">
              <w:t xml:space="preserve">reģistram  </w:t>
            </w:r>
            <w:r w:rsidRPr="396E4632">
              <w:t>sniedzamās</w:t>
            </w:r>
            <w:r w:rsidRPr="1EFEED41">
              <w:t xml:space="preserve"> </w:t>
            </w:r>
            <w:r w:rsidRPr="00234FF2">
              <w:t>informācij</w:t>
            </w:r>
            <w:r w:rsidRPr="3D1CF749">
              <w:t xml:space="preserve">as </w:t>
            </w:r>
            <w:r w:rsidRPr="614832AF">
              <w:t>apjomu</w:t>
            </w:r>
            <w:r w:rsidRPr="00234FF2">
              <w:t>, iesniedzamo uzraudzības pārskatu</w:t>
            </w:r>
            <w:r>
              <w:t xml:space="preserve"> u.c. jautājumiem.</w:t>
            </w:r>
            <w:r w:rsidRPr="00234FF2">
              <w:t xml:space="preserve"> </w:t>
            </w:r>
            <w:r w:rsidRPr="009D0164">
              <w:t>Latvijas Banka ir izveidojusi informācijas apmaiņas kanālu regulārai saziņai ar nozari, kurā tai skaitā tiek nodrošināta atbilžu publicēšana uz nozares neskaidriem jautājumiem.</w:t>
            </w:r>
            <w:r>
              <w:t xml:space="preserve"> Latvijas Banka turpina saziņa ar patērētāju kreditētājiem. </w:t>
            </w:r>
          </w:p>
          <w:p w14:paraId="2F52B59C" w14:textId="77777777" w:rsidR="00D1702A" w:rsidRDefault="00D1702A" w:rsidP="00D1702A"/>
          <w:p w14:paraId="130DDB39" w14:textId="77777777" w:rsidR="00D1702A" w:rsidRDefault="00D1702A" w:rsidP="00D1702A">
            <w:r>
              <w:t>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kreditētāju tiesības un pienākumi ar šo iecerēto funkciju un no tām izrietošo uzdevumu pāreju netiek ierobežoti, kā arī nerada jaunu administratīvo, finanšu vai konkurences slogu.</w:t>
            </w:r>
          </w:p>
          <w:p w14:paraId="159FD102" w14:textId="77777777" w:rsidR="00D1702A" w:rsidRDefault="00D1702A" w:rsidP="00D1702A"/>
          <w:p w14:paraId="2F21EF27" w14:textId="77777777" w:rsidR="00D1702A" w:rsidRDefault="00D1702A" w:rsidP="00D1702A">
            <w:r w:rsidRPr="00BE63DC">
              <w:t>Tiesiskās paļāvības princips nozīmē, ka persona var paļauties uz to, ka tiesības un likumiskās intereses, kuras tā ir ieguvusi, tai vēlāk netiks atņemtas. Šā principa pamatā ir personas paļaušanās uz valsts tiesisku un konsekventu rīcību (</w:t>
            </w:r>
            <w:r w:rsidRPr="00BE63DC">
              <w:rPr>
                <w:i/>
              </w:rPr>
              <w:t>Satversmes tiesas 2012.gada 25.janvāra sprieduma lietā Nr. 2011-08-01 10.punkts</w:t>
            </w:r>
            <w:r w:rsidRPr="00BE63DC">
              <w:t>). Tā galvenais uzdevums ir aizsargāt personas tiesības gadījumos, kad normatīvā regulējuma grozījumu rezultātā notiek vai ir iespējama privātpersonu tiesiskā stāvokļa pasliktināšanās (</w:t>
            </w:r>
            <w:r w:rsidRPr="00BE63DC">
              <w:rPr>
                <w:i/>
              </w:rPr>
              <w:t>Satversmes tiesas 2006.gada 8.novembra sprieduma lietā Nr. 2006-04-01 21.punkts</w:t>
            </w:r>
            <w:r w:rsidRPr="00BE63DC">
              <w:t>). Taču tiesiskās paļāvības princips neizslēdz valsts iespēju grozīt pastāvošo tiesisko regulējumu (</w:t>
            </w:r>
            <w:r w:rsidRPr="00BE63DC">
              <w:rPr>
                <w:i/>
              </w:rPr>
              <w:t>Satversmes tiesas 2010.gada 1.decembra sprieduma lietā Nr. 2010-21-01 19.punkts</w:t>
            </w:r>
            <w:r w:rsidRPr="00BE63DC">
              <w:t>). Tiesiskās paļāvības princips tostarp noteic arī to, ka personas reiz iegūtās tiesības nevar pastāvēt neierobežoti ilgi, proti, šis princips nedod pamatu ticēt, ka reiz noteiktā tiesiskā situācija nekad nemainīsies (</w:t>
            </w:r>
            <w:r w:rsidRPr="00BE63DC">
              <w:rPr>
                <w:i/>
              </w:rPr>
              <w:t>Satversmes tiesas 2004.gada 25.oktobra sprieduma lietā Nr. 2004-03-01 9.3.punkts</w:t>
            </w:r>
            <w:r w:rsidRPr="00BE63DC">
              <w:t>).</w:t>
            </w:r>
          </w:p>
          <w:p w14:paraId="43E07233" w14:textId="77777777" w:rsidR="00D1702A" w:rsidRDefault="00D1702A" w:rsidP="00D1702A">
            <w: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w:t>
            </w:r>
            <w:r>
              <w:lastRenderedPageBreak/>
              <w:t>problēmas, analizēt datus, izstrādāt risinājumus un ieviest politikas pasākumus.</w:t>
            </w:r>
          </w:p>
          <w:p w14:paraId="1489EFDD" w14:textId="77777777" w:rsidR="00D1702A" w:rsidRDefault="00D1702A" w:rsidP="00D1702A">
            <w: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 </w:t>
            </w:r>
          </w:p>
          <w:p w14:paraId="0AC3A2E4" w14:textId="77777777" w:rsidR="00D1702A" w:rsidRDefault="00D1702A" w:rsidP="00D1702A"/>
          <w:p w14:paraId="0E4CC1C0" w14:textId="77777777" w:rsidR="00D1702A" w:rsidRDefault="00D1702A" w:rsidP="00D1702A">
            <w:r>
              <w:t xml:space="preserve">Attiecībā uz labas likumdošanas principu norādāms, ka Satversmes tiesa ir atzinusi to, ka tas, ka </w:t>
            </w:r>
            <w:r w:rsidRPr="00CF1F0A">
              <w:t>likumdevējs nav ņēmis vērā visus paustos iebildumus un sniegtos priekšlikumus, nevar būt par pamatu tam, lai atzītu, ka labas likumdošanas princips nav ievērots (</w:t>
            </w:r>
            <w:r w:rsidRPr="00CF1F0A">
              <w:rPr>
                <w:i/>
                <w:iCs/>
              </w:rPr>
              <w:t>sk., piemēram, Satversmes tiesas 2015. gada 25. marta sprieduma lietā Nr. 2014-11-0103 18.1. punktu</w:t>
            </w:r>
            <w:r>
              <w:rPr>
                <w:i/>
                <w:iCs/>
              </w:rPr>
              <w:t>;</w:t>
            </w:r>
            <w:r w:rsidRPr="00391BD4">
              <w:rPr>
                <w:i/>
                <w:iCs/>
              </w:rPr>
              <w:t xml:space="preserve"> </w:t>
            </w:r>
            <w:r>
              <w:rPr>
                <w:i/>
                <w:iCs/>
              </w:rPr>
              <w:t xml:space="preserve">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 xml:space="preserve">). </w:t>
            </w:r>
            <w:r>
              <w:t xml:space="preserve">Tāpat </w:t>
            </w:r>
            <w:r w:rsidRPr="00CF1F0A">
              <w:t xml:space="preserve">Satversmes tiesa </w:t>
            </w:r>
            <w:r>
              <w:t xml:space="preserve">ir </w:t>
            </w:r>
            <w:r w:rsidRPr="00CF1F0A">
              <w:t>uzsv</w:t>
            </w:r>
            <w:r>
              <w:t>ērusi</w:t>
            </w:r>
            <w:r w:rsidRPr="00CF1F0A">
              <w:t xml:space="preserve">,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w:t>
            </w:r>
            <w:r w:rsidRPr="009115A7">
              <w:rPr>
                <w:color w:val="auto"/>
              </w:rPr>
              <w:t>ievērojot </w:t>
            </w:r>
            <w:hyperlink r:id="rId7" w:tgtFrame="_blank" w:history="1">
              <w:r w:rsidRPr="009115A7">
                <w:rPr>
                  <w:rStyle w:val="Hyperlink"/>
                  <w:color w:val="auto"/>
                  <w:u w:val="none"/>
                </w:rPr>
                <w:t>Satversmē</w:t>
              </w:r>
            </w:hyperlink>
            <w:r w:rsidRPr="00CF1F0A">
              <w:t> ietvertās vērtības un vispārējos tiesību principus (</w:t>
            </w:r>
            <w:r w:rsidRPr="00CF1F0A">
              <w:rPr>
                <w:i/>
                <w:iCs/>
              </w:rPr>
              <w:t xml:space="preserve">sal. sk. Satversmes </w:t>
            </w:r>
            <w:r w:rsidRPr="00CF1F0A">
              <w:rPr>
                <w:i/>
                <w:iCs/>
              </w:rPr>
              <w:lastRenderedPageBreak/>
              <w:t>tiesas 2019. gada 23. aprīļa sprieduma lietā Nr. 2018-12-01 24.1. punktu</w:t>
            </w:r>
            <w:r>
              <w:rPr>
                <w:i/>
                <w:iCs/>
              </w:rPr>
              <w:t xml:space="preserve">; 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w:t>
            </w:r>
            <w:r>
              <w:t xml:space="preserve"> </w:t>
            </w:r>
          </w:p>
          <w:p w14:paraId="31B189B7" w14:textId="77777777" w:rsidR="00D1702A" w:rsidRDefault="00D1702A" w:rsidP="00D1702A">
            <w:r>
              <w:t xml:space="preserve">Ņemot vērā līdzšinējo finanšu sektora asociāciju aktīvo iesaisti gan  Informatīvā ziņojuma izstrādē, gan arī sniedzot atzinumus par likumprojektu </w:t>
            </w:r>
            <w:proofErr w:type="spellStart"/>
            <w:r>
              <w:t>pakotni</w:t>
            </w:r>
            <w:proofErr w:type="spellEnd"/>
            <w:r>
              <w:t xml:space="preserve">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14:paraId="02FCF658" w14:textId="77777777" w:rsidR="00D1702A" w:rsidRDefault="00D1702A" w:rsidP="00D1702A"/>
          <w:p w14:paraId="3D833EAC" w14:textId="77777777" w:rsidR="00D1702A" w:rsidRDefault="00D1702A" w:rsidP="00D1702A">
            <w:r>
              <w:t xml:space="preserve">Tāpēc vēlreiz uzsverams, ka jau </w:t>
            </w:r>
            <w:r w:rsidRPr="005B6105">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w:t>
            </w:r>
            <w:r>
              <w:t>Savukārt a</w:t>
            </w:r>
            <w:r w:rsidRPr="005B6105">
              <w:t xml:space="preserve">r </w:t>
            </w:r>
            <w:r>
              <w:t xml:space="preserve">13 </w:t>
            </w:r>
            <w:r w:rsidRPr="005B6105">
              <w:t>likumprojektu</w:t>
            </w:r>
            <w:r>
              <w:t xml:space="preserve"> </w:t>
            </w:r>
            <w:proofErr w:type="spellStart"/>
            <w:r>
              <w:t>pakotni</w:t>
            </w:r>
            <w:proofErr w:type="spellEnd"/>
            <w:r>
              <w:t xml:space="preserve"> </w:t>
            </w:r>
            <w:r w:rsidRPr="005B6105">
              <w:t xml:space="preserve">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r>
              <w:t>.</w:t>
            </w:r>
          </w:p>
          <w:p w14:paraId="5C7302DB" w14:textId="77777777" w:rsidR="00470F6D" w:rsidRDefault="00470F6D" w:rsidP="00762B06"/>
          <w:p w14:paraId="0B30918F" w14:textId="35551620" w:rsidR="008025E9" w:rsidRDefault="008025E9" w:rsidP="008025E9">
            <w:pPr>
              <w:rPr>
                <w:b/>
                <w:bCs/>
              </w:rPr>
            </w:pPr>
            <w:r>
              <w:rPr>
                <w:b/>
                <w:bCs/>
              </w:rPr>
              <w:lastRenderedPageBreak/>
              <w:t xml:space="preserve">II </w:t>
            </w:r>
            <w:r w:rsidRPr="003D4CDB">
              <w:rPr>
                <w:b/>
                <w:bCs/>
              </w:rPr>
              <w:t>Par likumprojektu “Grozījumi Starptautisko un Latvijas Republikas nacionālo sankciju likumā”</w:t>
            </w:r>
          </w:p>
          <w:p w14:paraId="614CCB0D" w14:textId="77777777" w:rsidR="008025E9" w:rsidRDefault="008025E9" w:rsidP="008025E9">
            <w:pPr>
              <w:rPr>
                <w:b/>
                <w:bCs/>
              </w:rPr>
            </w:pPr>
          </w:p>
          <w:p w14:paraId="5A16A317" w14:textId="77777777" w:rsidR="008025E9" w:rsidRPr="007375DE" w:rsidRDefault="008025E9" w:rsidP="008025E9">
            <w:r w:rsidRPr="007375DE">
              <w:t xml:space="preserve">Skaidrojam, ka ar likumprojektu pakotnē ietvertajiem 13 likumu grozījumiem, tajā skaitā </w:t>
            </w:r>
            <w:r>
              <w:t xml:space="preserve">grozījumiem </w:t>
            </w:r>
            <w:r w:rsidRPr="00A1296D">
              <w:t>Starptautisko un Latvijas Republikas nacionālo sankciju likumā</w:t>
            </w:r>
            <w:r w:rsidRPr="007375DE">
              <w:t>, tiek pildīts</w:t>
            </w:r>
            <w:r>
              <w:t xml:space="preserve"> </w:t>
            </w:r>
            <w:r w:rsidRPr="007375DE">
              <w:t>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r>
              <w:t xml:space="preserve"> Atkārtoti uzsverams, ka </w:t>
            </w:r>
            <w:r w:rsidRPr="00E0241D">
              <w:t>par patērētāju kreditēšanas uzraudzības sistēmas reformu jau pirms likumprojektu pakotnes izstrādes ir bijis ilgs un pietiekami izdiskutēts gan valsts institūciju, gan nozares nevalstiskā sektora ietvarā.</w:t>
            </w:r>
          </w:p>
          <w:p w14:paraId="317B7C61" w14:textId="77777777" w:rsidR="008025E9" w:rsidRDefault="008025E9" w:rsidP="008025E9"/>
          <w:p w14:paraId="251879D7" w14:textId="39E25DE5" w:rsidR="008025E9" w:rsidRDefault="008025E9" w:rsidP="00762B06">
            <w:r>
              <w:t xml:space="preserve">Tāpat jānorāda, ka piemērojamais sankciju regulējums netiek mainīts. Likumprojektā tiek mainīta uzraudzības institūcija no PTAC uz Latvijas Banku. Jāuzsver, ka </w:t>
            </w:r>
            <w:r w:rsidRPr="007D668C">
              <w:t xml:space="preserve">Latvijas Banka demonstrē augstu izpratni par sankciju regulējumu un spēju piemērot riskos balstītu pieeju </w:t>
            </w:r>
            <w:r>
              <w:t xml:space="preserve">noziedzīgi iegūtu līdzekļu legalizācijas </w:t>
            </w:r>
            <w:r>
              <w:lastRenderedPageBreak/>
              <w:t>novēršanā</w:t>
            </w:r>
            <w:r w:rsidRPr="007D668C">
              <w:t xml:space="preserve"> un sankciju atbilstības uzraudzībā</w:t>
            </w:r>
            <w:r>
              <w:t xml:space="preserve">. Par to liecina arī </w:t>
            </w:r>
            <w:proofErr w:type="spellStart"/>
            <w:r>
              <w:t>Moneyval</w:t>
            </w:r>
            <w:proofErr w:type="spellEnd"/>
            <w:r>
              <w:t xml:space="preserve"> ziņojumā par Latviju ietvertie secinājumi. </w:t>
            </w:r>
            <w:r w:rsidRPr="007D668C">
              <w:t>Latvijas Banka sankciju atbilstības jomā jau šobrīd uzrauga dažādus finanšu tirgus dalībniekus</w:t>
            </w:r>
            <w:r>
              <w:t xml:space="preserve">, tostarp virkne no tiem sniedz arī kreditēšanas pakalpojumus patērētājiem (piemēram, kredītiestādes, ieguldījumu platformas u.c.), tādējādi Latvijas Bankai ir atbilstoša kapacitāte, juridiskās zināšanas un praktiska izpratne par sankciju piemērošanu dažādos finanšu pakalpojumos. </w:t>
            </w:r>
          </w:p>
        </w:tc>
        <w:tc>
          <w:tcPr>
            <w:tcW w:w="2949" w:type="dxa"/>
            <w:shd w:val="clear" w:color="auto" w:fill="FFFFFF"/>
            <w:noWrap/>
            <w:tcMar>
              <w:top w:w="75" w:type="dxa"/>
              <w:left w:w="75" w:type="dxa"/>
              <w:bottom w:w="75" w:type="dxa"/>
              <w:right w:w="75" w:type="dxa"/>
            </w:tcMar>
          </w:tcPr>
          <w:p w14:paraId="3706FB68" w14:textId="77777777" w:rsidR="00470F6D" w:rsidRDefault="00470F6D" w:rsidP="00360B15">
            <w:pPr>
              <w:spacing w:after="240"/>
              <w:rPr>
                <w:b/>
              </w:rPr>
            </w:pPr>
            <w:r>
              <w:rPr>
                <w:b/>
              </w:rPr>
              <w:lastRenderedPageBreak/>
              <w:t>Likumprojekts (grozījumi)</w:t>
            </w:r>
          </w:p>
          <w:p w14:paraId="21E79781" w14:textId="160F30C7" w:rsidR="00470F6D" w:rsidRDefault="00470F6D" w:rsidP="00360B15">
            <w:r>
              <w:t xml:space="preserve">Grozījumi </w:t>
            </w:r>
            <w:r w:rsidR="009076DA" w:rsidRPr="009076DA">
              <w:rPr>
                <w:bCs/>
              </w:rPr>
              <w:t xml:space="preserve">Starptautisko un Latvijas Republikas nacionālo sankciju </w:t>
            </w:r>
            <w:r>
              <w:t>likumā</w:t>
            </w:r>
          </w:p>
        </w:tc>
      </w:tr>
    </w:tbl>
    <w:p w14:paraId="5B6EE59F" w14:textId="77777777" w:rsidR="00F04A11" w:rsidRDefault="00F04A11"/>
    <w:sectPr w:rsidR="00F04A11" w:rsidSect="00470F6D">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82370" w14:textId="77777777" w:rsidR="00EE48A1" w:rsidRDefault="00EE48A1" w:rsidP="00470F6D">
      <w:r>
        <w:separator/>
      </w:r>
    </w:p>
  </w:endnote>
  <w:endnote w:type="continuationSeparator" w:id="0">
    <w:p w14:paraId="715E568A" w14:textId="77777777" w:rsidR="00EE48A1" w:rsidRDefault="00EE48A1" w:rsidP="0047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D3F2" w14:textId="77777777" w:rsidR="00470F6D" w:rsidRDefault="00470F6D">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F418" w14:textId="77777777" w:rsidR="00470F6D" w:rsidRDefault="00470F6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E3A3" w14:textId="77777777" w:rsidR="00EE48A1" w:rsidRDefault="00EE48A1" w:rsidP="00470F6D">
      <w:r>
        <w:separator/>
      </w:r>
    </w:p>
  </w:footnote>
  <w:footnote w:type="continuationSeparator" w:id="0">
    <w:p w14:paraId="4CCBAE5F" w14:textId="77777777" w:rsidR="00EE48A1" w:rsidRDefault="00EE48A1" w:rsidP="0047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7530" w14:textId="7A8A4441" w:rsidR="00470F6D" w:rsidRDefault="00470F6D">
    <w:pPr>
      <w:pStyle w:val="Header"/>
      <w:contextualSpacing w:val="0"/>
    </w:pPr>
    <w:r>
      <w:t>Izziņa 26-TA-7</w:t>
    </w:r>
    <w:r w:rsidR="009A0FBD">
      <w:t>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A4EA" w14:textId="3D595DA1" w:rsidR="00470F6D" w:rsidRDefault="00470F6D">
    <w:pPr>
      <w:pStyle w:val="Header"/>
      <w:contextualSpacing w:val="0"/>
    </w:pPr>
    <w:r>
      <w:t>Izziņa 26-TA-74</w:t>
    </w:r>
    <w:r w:rsidR="009A0FBD">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039"/>
    <w:multiLevelType w:val="multilevel"/>
    <w:tmpl w:val="6A10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71FDE"/>
    <w:multiLevelType w:val="multilevel"/>
    <w:tmpl w:val="7024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A7AC7"/>
    <w:multiLevelType w:val="multilevel"/>
    <w:tmpl w:val="0E226A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A61C7F"/>
    <w:multiLevelType w:val="multilevel"/>
    <w:tmpl w:val="CAFEF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81C33"/>
    <w:multiLevelType w:val="multilevel"/>
    <w:tmpl w:val="274AC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CA7FC9"/>
    <w:multiLevelType w:val="multilevel"/>
    <w:tmpl w:val="479A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51254"/>
    <w:multiLevelType w:val="multilevel"/>
    <w:tmpl w:val="B7FCD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0A229C"/>
    <w:multiLevelType w:val="multilevel"/>
    <w:tmpl w:val="DE28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10C54"/>
    <w:multiLevelType w:val="hybridMultilevel"/>
    <w:tmpl w:val="E140F272"/>
    <w:lvl w:ilvl="0" w:tplc="384C2D3C">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9" w15:restartNumberingAfterBreak="0">
    <w:nsid w:val="64F26D22"/>
    <w:multiLevelType w:val="multilevel"/>
    <w:tmpl w:val="E628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A422C"/>
    <w:multiLevelType w:val="multilevel"/>
    <w:tmpl w:val="A378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501211">
    <w:abstractNumId w:val="4"/>
    <w:lvlOverride w:ilvl="0"/>
    <w:lvlOverride w:ilvl="1">
      <w:startOverride w:val="1"/>
    </w:lvlOverride>
    <w:lvlOverride w:ilvl="2"/>
    <w:lvlOverride w:ilvl="3"/>
    <w:lvlOverride w:ilvl="4"/>
    <w:lvlOverride w:ilvl="5"/>
    <w:lvlOverride w:ilvl="6"/>
    <w:lvlOverride w:ilvl="7"/>
    <w:lvlOverride w:ilvl="8"/>
  </w:num>
  <w:num w:numId="2" w16cid:durableId="26142435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8128628">
    <w:abstractNumId w:val="2"/>
  </w:num>
  <w:num w:numId="4" w16cid:durableId="746651876">
    <w:abstractNumId w:val="3"/>
  </w:num>
  <w:num w:numId="5" w16cid:durableId="117379229">
    <w:abstractNumId w:val="0"/>
  </w:num>
  <w:num w:numId="6" w16cid:durableId="61103446">
    <w:abstractNumId w:val="1"/>
  </w:num>
  <w:num w:numId="7" w16cid:durableId="156963027">
    <w:abstractNumId w:val="10"/>
  </w:num>
  <w:num w:numId="8" w16cid:durableId="78792941">
    <w:abstractNumId w:val="6"/>
  </w:num>
  <w:num w:numId="9" w16cid:durableId="1657610013">
    <w:abstractNumId w:val="5"/>
  </w:num>
  <w:num w:numId="10" w16cid:durableId="136609502">
    <w:abstractNumId w:val="9"/>
  </w:num>
  <w:num w:numId="11" w16cid:durableId="1462729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6D"/>
    <w:rsid w:val="00094BCE"/>
    <w:rsid w:val="000C4ACD"/>
    <w:rsid w:val="00293D94"/>
    <w:rsid w:val="00434067"/>
    <w:rsid w:val="00470F6D"/>
    <w:rsid w:val="0047230A"/>
    <w:rsid w:val="00503413"/>
    <w:rsid w:val="00762B06"/>
    <w:rsid w:val="008025E9"/>
    <w:rsid w:val="009076DA"/>
    <w:rsid w:val="00910B5B"/>
    <w:rsid w:val="009A0FBD"/>
    <w:rsid w:val="009D178C"/>
    <w:rsid w:val="00D1702A"/>
    <w:rsid w:val="00D44CFB"/>
    <w:rsid w:val="00EE028B"/>
    <w:rsid w:val="00EE48A1"/>
    <w:rsid w:val="00F04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7686"/>
  <w15:chartTrackingRefBased/>
  <w15:docId w15:val="{287D1559-1776-4116-B01B-9337A77A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F6D"/>
    <w:pPr>
      <w:spacing w:after="0" w:line="240" w:lineRule="auto"/>
      <w:jc w:val="both"/>
    </w:pPr>
    <w:rPr>
      <w:rFonts w:ascii="Times New Roman" w:eastAsia="Times New Roman" w:hAnsi="Times New Roman" w:cs="Times New Roman"/>
      <w:color w:val="333333"/>
      <w:kern w:val="0"/>
      <w:szCs w:val="20"/>
      <w:lang w:eastAsia="lv-LV"/>
      <w14:ligatures w14:val="none"/>
    </w:rPr>
  </w:style>
  <w:style w:type="paragraph" w:styleId="Heading1">
    <w:name w:val="heading 1"/>
    <w:basedOn w:val="Normal"/>
    <w:next w:val="Normal"/>
    <w:link w:val="Heading1Char"/>
    <w:uiPriority w:val="9"/>
    <w:qFormat/>
    <w:rsid w:val="00470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F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F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F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F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F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F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F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F6D"/>
    <w:rPr>
      <w:rFonts w:eastAsiaTheme="majorEastAsia" w:cstheme="majorBidi"/>
      <w:color w:val="272727" w:themeColor="text1" w:themeTint="D8"/>
    </w:rPr>
  </w:style>
  <w:style w:type="paragraph" w:styleId="Title">
    <w:name w:val="Title"/>
    <w:basedOn w:val="Normal"/>
    <w:next w:val="Normal"/>
    <w:link w:val="TitleChar"/>
    <w:uiPriority w:val="10"/>
    <w:qFormat/>
    <w:rsid w:val="00470F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F6D"/>
    <w:pPr>
      <w:spacing w:before="160"/>
      <w:jc w:val="center"/>
    </w:pPr>
    <w:rPr>
      <w:i/>
      <w:iCs/>
      <w:color w:val="404040" w:themeColor="text1" w:themeTint="BF"/>
    </w:rPr>
  </w:style>
  <w:style w:type="character" w:customStyle="1" w:styleId="QuoteChar">
    <w:name w:val="Quote Char"/>
    <w:basedOn w:val="DefaultParagraphFont"/>
    <w:link w:val="Quote"/>
    <w:uiPriority w:val="29"/>
    <w:rsid w:val="00470F6D"/>
    <w:rPr>
      <w:i/>
      <w:iCs/>
      <w:color w:val="404040" w:themeColor="text1" w:themeTint="BF"/>
    </w:rPr>
  </w:style>
  <w:style w:type="paragraph" w:styleId="ListParagraph">
    <w:name w:val="List Paragraph"/>
    <w:basedOn w:val="Normal"/>
    <w:uiPriority w:val="34"/>
    <w:qFormat/>
    <w:rsid w:val="00470F6D"/>
    <w:pPr>
      <w:ind w:left="720"/>
      <w:contextualSpacing/>
    </w:pPr>
  </w:style>
  <w:style w:type="character" w:styleId="IntenseEmphasis">
    <w:name w:val="Intense Emphasis"/>
    <w:basedOn w:val="DefaultParagraphFont"/>
    <w:uiPriority w:val="21"/>
    <w:qFormat/>
    <w:rsid w:val="00470F6D"/>
    <w:rPr>
      <w:i/>
      <w:iCs/>
      <w:color w:val="0F4761" w:themeColor="accent1" w:themeShade="BF"/>
    </w:rPr>
  </w:style>
  <w:style w:type="paragraph" w:styleId="IntenseQuote">
    <w:name w:val="Intense Quote"/>
    <w:basedOn w:val="Normal"/>
    <w:next w:val="Normal"/>
    <w:link w:val="IntenseQuoteChar"/>
    <w:uiPriority w:val="30"/>
    <w:qFormat/>
    <w:rsid w:val="00470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F6D"/>
    <w:rPr>
      <w:i/>
      <w:iCs/>
      <w:color w:val="0F4761" w:themeColor="accent1" w:themeShade="BF"/>
    </w:rPr>
  </w:style>
  <w:style w:type="character" w:styleId="IntenseReference">
    <w:name w:val="Intense Reference"/>
    <w:basedOn w:val="DefaultParagraphFont"/>
    <w:uiPriority w:val="32"/>
    <w:qFormat/>
    <w:rsid w:val="00470F6D"/>
    <w:rPr>
      <w:b/>
      <w:bCs/>
      <w:smallCaps/>
      <w:color w:val="0F4761" w:themeColor="accent1" w:themeShade="BF"/>
      <w:spacing w:val="5"/>
    </w:rPr>
  </w:style>
  <w:style w:type="paragraph" w:customStyle="1" w:styleId="paragraph">
    <w:name w:val="paragraph"/>
    <w:basedOn w:val="Normal"/>
    <w:next w:val="Normal"/>
    <w:rsid w:val="00470F6D"/>
    <w:pPr>
      <w:contextualSpacing/>
    </w:pPr>
  </w:style>
  <w:style w:type="paragraph" w:customStyle="1" w:styleId="titleparagraph">
    <w:name w:val="title_paragraph"/>
    <w:basedOn w:val="Normal"/>
    <w:next w:val="Normal"/>
    <w:rsid w:val="00470F6D"/>
    <w:pPr>
      <w:spacing w:after="280"/>
      <w:contextualSpacing/>
    </w:pPr>
    <w:rPr>
      <w:b/>
      <w:sz w:val="28"/>
    </w:rPr>
  </w:style>
  <w:style w:type="paragraph" w:styleId="Header">
    <w:name w:val="header"/>
    <w:basedOn w:val="Normal"/>
    <w:next w:val="Normal"/>
    <w:link w:val="HeaderChar"/>
    <w:rsid w:val="00470F6D"/>
    <w:pPr>
      <w:spacing w:after="280"/>
      <w:contextualSpacing/>
      <w:jc w:val="right"/>
    </w:pPr>
  </w:style>
  <w:style w:type="character" w:customStyle="1" w:styleId="HeaderChar">
    <w:name w:val="Header Char"/>
    <w:basedOn w:val="DefaultParagraphFont"/>
    <w:link w:val="Header"/>
    <w:rsid w:val="00470F6D"/>
    <w:rPr>
      <w:rFonts w:ascii="Times New Roman" w:eastAsia="Times New Roman" w:hAnsi="Times New Roman" w:cs="Times New Roman"/>
      <w:color w:val="333333"/>
      <w:kern w:val="0"/>
      <w:szCs w:val="20"/>
      <w:lang w:eastAsia="lv-LV"/>
      <w14:ligatures w14:val="none"/>
    </w:rPr>
  </w:style>
  <w:style w:type="paragraph" w:customStyle="1" w:styleId="signeddocumentparagraph">
    <w:name w:val="signed_document_paragraph"/>
    <w:basedOn w:val="Normal"/>
    <w:next w:val="Normal"/>
    <w:rsid w:val="00470F6D"/>
    <w:pPr>
      <w:contextualSpacing/>
      <w:jc w:val="right"/>
    </w:pPr>
  </w:style>
  <w:style w:type="paragraph" w:styleId="Footer">
    <w:name w:val="footer"/>
    <w:basedOn w:val="Normal"/>
    <w:link w:val="FooterChar"/>
    <w:uiPriority w:val="99"/>
    <w:unhideWhenUsed/>
    <w:rsid w:val="00470F6D"/>
    <w:pPr>
      <w:tabs>
        <w:tab w:val="center" w:pos="4153"/>
        <w:tab w:val="right" w:pos="8306"/>
      </w:tabs>
    </w:pPr>
  </w:style>
  <w:style w:type="character" w:customStyle="1" w:styleId="FooterChar">
    <w:name w:val="Footer Char"/>
    <w:basedOn w:val="DefaultParagraphFont"/>
    <w:link w:val="Footer"/>
    <w:uiPriority w:val="99"/>
    <w:rsid w:val="00470F6D"/>
    <w:rPr>
      <w:rFonts w:ascii="Times New Roman" w:eastAsia="Times New Roman" w:hAnsi="Times New Roman" w:cs="Times New Roman"/>
      <w:color w:val="333333"/>
      <w:kern w:val="0"/>
      <w:szCs w:val="20"/>
      <w:lang w:eastAsia="lv-LV"/>
      <w14:ligatures w14:val="none"/>
    </w:rPr>
  </w:style>
  <w:style w:type="character" w:styleId="Hyperlink">
    <w:name w:val="Hyperlink"/>
    <w:basedOn w:val="DefaultParagraphFont"/>
    <w:uiPriority w:val="99"/>
    <w:unhideWhenUsed/>
    <w:rsid w:val="00470F6D"/>
    <w:rPr>
      <w:color w:val="467886" w:themeColor="hyperlink"/>
      <w:u w:val="single"/>
    </w:rPr>
  </w:style>
  <w:style w:type="character" w:styleId="CommentReference">
    <w:name w:val="annotation reference"/>
    <w:basedOn w:val="DefaultParagraphFont"/>
    <w:uiPriority w:val="99"/>
    <w:semiHidden/>
    <w:unhideWhenUsed/>
    <w:rsid w:val="00470F6D"/>
    <w:rPr>
      <w:sz w:val="16"/>
      <w:szCs w:val="16"/>
    </w:rPr>
  </w:style>
  <w:style w:type="paragraph" w:styleId="CommentText">
    <w:name w:val="annotation text"/>
    <w:basedOn w:val="Normal"/>
    <w:link w:val="CommentTextChar"/>
    <w:uiPriority w:val="99"/>
    <w:unhideWhenUsed/>
    <w:rsid w:val="00470F6D"/>
    <w:rPr>
      <w:sz w:val="20"/>
    </w:rPr>
  </w:style>
  <w:style w:type="character" w:customStyle="1" w:styleId="CommentTextChar">
    <w:name w:val="Comment Text Char"/>
    <w:basedOn w:val="DefaultParagraphFont"/>
    <w:link w:val="CommentText"/>
    <w:uiPriority w:val="99"/>
    <w:rsid w:val="00470F6D"/>
    <w:rPr>
      <w:rFonts w:ascii="Times New Roman" w:eastAsia="Times New Roman" w:hAnsi="Times New Roman" w:cs="Times New Roman"/>
      <w:color w:val="333333"/>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470F6D"/>
    <w:rPr>
      <w:b/>
      <w:bCs/>
    </w:rPr>
  </w:style>
  <w:style w:type="character" w:customStyle="1" w:styleId="CommentSubjectChar">
    <w:name w:val="Comment Subject Char"/>
    <w:basedOn w:val="CommentTextChar"/>
    <w:link w:val="CommentSubject"/>
    <w:uiPriority w:val="99"/>
    <w:semiHidden/>
    <w:rsid w:val="00470F6D"/>
    <w:rPr>
      <w:rFonts w:ascii="Times New Roman" w:eastAsia="Times New Roman" w:hAnsi="Times New Roman" w:cs="Times New Roman"/>
      <w:b/>
      <w:bCs/>
      <w:color w:val="333333"/>
      <w:kern w:val="0"/>
      <w:sz w:val="20"/>
      <w:szCs w:val="20"/>
      <w:lang w:eastAsia="lv-LV"/>
      <w14:ligatures w14:val="none"/>
    </w:rPr>
  </w:style>
  <w:style w:type="character" w:styleId="Mention">
    <w:name w:val="Mention"/>
    <w:basedOn w:val="DefaultParagraphFont"/>
    <w:uiPriority w:val="99"/>
    <w:unhideWhenUsed/>
    <w:rsid w:val="00470F6D"/>
    <w:rPr>
      <w:color w:val="2B579A"/>
      <w:shd w:val="clear" w:color="auto" w:fill="E1DFDD"/>
    </w:rPr>
  </w:style>
  <w:style w:type="character" w:styleId="UnresolvedMention">
    <w:name w:val="Unresolved Mention"/>
    <w:basedOn w:val="DefaultParagraphFont"/>
    <w:uiPriority w:val="99"/>
    <w:semiHidden/>
    <w:unhideWhenUsed/>
    <w:rsid w:val="0047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57980-latvijas-republikas-satvers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10</Pages>
  <Words>11576</Words>
  <Characters>6599</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Jenerte</dc:creator>
  <cp:keywords/>
  <dc:description/>
  <cp:lastModifiedBy>Santa</cp:lastModifiedBy>
  <cp:revision>6</cp:revision>
  <dcterms:created xsi:type="dcterms:W3CDTF">2026-04-24T11:27:00Z</dcterms:created>
  <dcterms:modified xsi:type="dcterms:W3CDTF">2026-04-28T11:34:00Z</dcterms:modified>
</cp:coreProperties>
</file>