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(Latvijas Vēstnesis, 2023, 184.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“40.10. nodrošina, ka šo noteikumu 23.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23.3.un 23.4. apakšpunktā minēto atbalstāmo darbību īstenošanas rezultātā  izīrējamajos dzīvokļos papildus nodrošina, ka virtuve ir aprīkota ar iebūvēto virtuves iekārtu (virtuves skapīšiem un plīti).”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ka izīrējamie dzīvokļi tiek aprīkoti ar nepieciešamo santehniku un iekārtām atbilstoši mūsdienu prasībām. Tomēr, ņemot vērā, ka atbalstāmo darbību ietvaros bieži tiek renovētas 60. un 70. gados būvētas daudzdzīvokļu mājas, kurām raksturīgas nelielas vannas istabas ar ierobežotām pārbūves iespējām, noteikumos būtu nepieciešams paredzēt elastību attiecībā uz izlietnes izvietošanu. Ja vannas istabas platība ir ierobežota vai nav tehnisku iespēju izlietni uzstādīt, vanna var kalpot arī kā izlietne, nodrošinot nepieciešamo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Pielietojot vienlīdzības principu, svarīgi nodrošināt vienādus uzlabojumus arī pašvaldības vai tās izveidotas iestādes, vai pašvaldības kapitālsabiedrības īpašumā esošu un neizīrētu atsevišķu telpu grupu atjaunošanā vai pārbūvē. Līdz ar to būtu atbalstāma arī šādu dzīvojamo telpu stāvokļa uzlabošana, tādā veidā nodrošinot cilvēka cienīgiem dzīves apstākļiem atbilstoša mājokļa pieejamību sociāli un ekonomiski mazaizsargātām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izteikt Noteikumu projekta 40.10.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“40.10. nodrošina, ka šo noteikumu 23.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Gadījumos, kad vannas istabas platība ir ierobežota un nav iespējas izvietot izlietni, vanna var pildīt izlietnes funkciju. 23.1., 23.1</w:t>
            </w:r>
            <w:r w:rsidR="00000000" w:rsidRPr="00000000" w:rsidDel="00000000">
              <w:rPr>
                <w:i w:val="1"/>
                <w:vertAlign w:val="superscript"/>
                <w:rtl w:val="0"/>
              </w:rPr>
              <w:t xml:space="preserve">1</w:t>
            </w:r>
            <w:r w:rsidR="00000000" w:rsidRPr="00000000" w:rsidDel="00000000">
              <w:rPr>
                <w:i w:val="1"/>
                <w:rtl w:val="0"/>
              </w:rPr>
              <w:t xml:space="preserve">., 23.3. un 23.4. apakšpunktā minēto atbalstāmo darbību īstenošanas rezultātā izīrējamajos dzīvokļos papildus nodrošina, ka virtuve ir aprīkota ar iebūvēto virtuves iekārtu (virtuves skapīšiem un plīti).”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40.10. apakšpunkta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vairākkārtēja pašvaldību ierosinājuma aicinām atbalstīt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2. kārtā ne tikai jaunu dzīvokļu, bet arī rindu māju būvniecību. Kā iespēja tika pieminētas arī privātmājas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ģimenēm, kurās ir 6 un vairāk bērni, aicinām izskatīt iespēju pieļaut arī rindu māju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šobrīd spēkā esošie pasākuma ieviešanas nosacījumi neierobežo viena/divu dzīvokļu māju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(Latvijas Vēstnesis, 2023, 184.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w:t>
            </w:r>
            <w:r w:rsidR="00000000" w:rsidRPr="00000000" w:rsidDel="00000000">
              <w:rPr>
                <w:i w:val="1"/>
                <w:rtl w:val="0"/>
              </w:rPr>
              <w:t xml:space="preserve">Izteikt 31. punktu šādā redakcijā:</w:t>
            </w:r>
            <w:r w:rsidR="00000000" w:rsidRPr="00000000" w:rsidDel="00000000">
              <w:rPr>
                <w:i w:val="1"/>
                <w:rtl w:val="0"/>
              </w:rPr>
              <w:t xml:space="preserve">"31. Maksimāli pieejamais ERAF finansējums šo noteikumu 29. punktā norādīto izmaksu segšanai, kas radušās šo noteikumu 23.1. un 23.1.1 apakšpunktā minēto atbalstāmo darbību ietvaros, nepārsniedz 14 875 euro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izīrējamo dzīvokļu aprīkošanu ar virtuves iekārtām, kā arī aktuālāko ekonomisko informāciju par patēriņa cenu pieaugumu, lūdzam izskatīt iespēju palielināt arī summu 23.1. un 23.1.</w:t>
            </w:r>
            <w:r w:rsidR="00000000" w:rsidRPr="00000000" w:rsidDel="00000000">
              <w:rPr>
                <w:b w:val="1"/>
                <w:vertAlign w:val="superscript"/>
                <w:rtl w:val="0"/>
              </w:rPr>
              <w:t xml:space="preserve">1</w:t>
            </w:r>
            <w:r w:rsidR="00000000" w:rsidRPr="00000000" w:rsidDel="00000000">
              <w:rPr>
                <w:b w:val="1"/>
                <w:rtl w:val="0"/>
              </w:rPr>
              <w:t xml:space="preserve"> apakšpunktā minēto atbalstāmo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Piemērām, nepārsniedzot </w:t>
            </w:r>
            <w:r w:rsidR="00000000" w:rsidRPr="00000000" w:rsidDel="00000000">
              <w:rPr>
                <w:b w:val="1"/>
                <w:u w:val="single"/>
                <w:rtl w:val="0"/>
              </w:rPr>
              <w:t xml:space="preserve">15 875 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nav iespējams grozīt (paaugstināt) attiecināmo izmaksu apmēru uz vienu atjaunojamo/pārbūvējamo dzīvokli, ņemot vērā, ka šādi grozījumi tieši ietekmētu pasākuma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2. punktā ietverto skaidrojumu ("Paskaidrojam, ka šobrīd spēkā esošie pasākuma ieviešanas nosacījumi neierobežo viena/divu dzīvokļu māju būvniecību") nostiprināt pavadošajā dokumentācijā (anotācija/metodika).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piedāvātais skaidrojums attiecas uz jau spēkā esošo MK noteikumu Nr.538 redakciju un neietilpst šī tiesību akta projekta (grozījumu) tvērumā, tas tiks ietverts pasākuma 2.kārtas projektu iesniegumu atlases nolikumā ietilpstošajos dokumentos, tai skaitā, vērtēšanas kritēriju piemērošanas metodikā.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izvērtējusi grozījumu projektu un vēlas pievērst uzmanību uz pašvaldību līdzfinansējuma apjomu un tā ietekmi uz budžetu.  Noteikumu projektā noteikts, ka kopējais nacionālais līdzfinansējums ir ne mazāks kā 12,4 milj. EUR, no kura vismaz 11,3 milj. EUR ir jānodrošina tieši pašvaldībām. Ņemot vērā augsto inflāciju būvniecībā, strauji augošās energoefektivitātes prasības un pieaugošo atalgojuma slogu pašvaldību kapitālsabiedrībās, šāda apjoma līdzfinansējums rada ievērojamu slogu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LPS vēlas vērst uzmanību uz  neatbilstība starp ERAF finansējumu un faktiskajām projektu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1.maksimāli pieejamo ERAF finansējumu 650 000 EUR apmērā vienam projektam (līdz 3 milj. EUR Rīgai),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izmaksu griestus 14 875 EUR uz vienu renovējamo dzīvokli (92 565 EUR – jauna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realitāti un energoefektivitātes prasību īstenošanas izmaksas, LPS norāda, ka šie griesti nav pietiekami faktiskajām projektu izmaksām, it īpaši, ja jānodrošina arī pieejamība personām ar funkcionāliem traucējumiem, iekļaujot automatizētās vadības sistēmas un pilnu virtuves aprīkojumu. Rezultātā pašvaldībām var nākties sedz papildus izmaksas ārpus programmas attiecināmības, kas vēl vairāk pastiprina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grozījumu tekstā nav definēti elastības finansējuma piešķiršanas kritēriji, līdz ar to pašvaldībām ir apgrūtināta projektu budžetu plānošana un rodas neskaidrība par finansējuma apjomu, kas var būt pieejams neparedzētu izmaksu segšanai.  LPS lūdz precizēt elastības finansējuma piešķiršanas nosacījumus un sadales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noteikumu projektu tiek ievērojami paaugstināti attiecināmo izmaksu griesti jaunas būvniecības darbībām (skat. 17. un 33.punktu). Turklāt attiecināmo izmaksu griesti ir saskaņoti Eiropas Komisiju, secīgi - balstoties uz tiem, ir arī definēti sasniedzamie rādītāji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finansējuma izmantošanas nosacījumi un kārtība primāri izriet no Regulas Nr. 2021/1060 un tā izmantošanas nosacījumi izriet no šī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minēto, ar tiesību akta projektu tiek veikti grozījumi MK noteikumos Nr.538:</w:t>
            </w:r>
            <w:r w:rsidR="00000000" w:rsidRPr="00000000" w:rsidDel="00000000">
              <w:rPr>
                <w:i w:val="1"/>
                <w:rtl w:val="0"/>
              </w:rPr>
              <w:t xml:space="preserve">* paredzot, ka 1.kārtas ietvaros tiek organizēts vēl viens  (otrais) uzsaukums par 1.kārtas atlikumu, kura ietvaros tiek atbalstīta esošu telpu grupu atjaunošana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projekta īstenošanas termiņu ne ilgāk kā līdz 2029.gada 31.decembrim, kā arī pašvaldības īsteno projektus vairāku gadu periodā, un situācija ar mērķa grupas personām var mainīties, personas, kuras projekta iesniegšanas brīdī bija identificētas kā potenciālie palīdzības saņēmēji, laika gaitā var atrisināt savu dzīvojamo jautājumu citā veidā vai zaudēt atbilstību noteiktajiem kritērijiem. Līdz ar to ir būtiski nodrošināt elastību projekta īstenošanas gaitā, lai pašvaldības varētu efektīvi pārvaldīt dzīvojamās telpas un pielāgot tās aktuālajām vajadzībām, vienlaikus saglabājot projekta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Anotāciju papildināt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“Projektiem, kas tiek īstenoti pirmās kārtas ietvaros, ir atbalstāma telpu grupu atjaunošana un pārbūve, kuras projekta ieviešanas laikā var būt izīrētas pašvaldības sniegtās palīdzības dzīvokļa jautājumu risināšanā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tā kā pasākums, tai skaitā, 1. kārtas pirmais uzsaukums, tiek īstenots atklātas projektu iesniegumu atlases veidā,  priekšlikumā minētā nosacījuma ietveršana šajā tiesību aktā pārkāptu atklātas projektu iesniegumu atlases organizēšanas nosacījumus, ņemot vērā, ka 1.uzsaukumā tika atlasīta tikai tādu dzīvojamo telpu atjaunošana, kuras nav izīrētas.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Ministru kabineta (turpmāk - MK) noteikumu projekta ietekmi uz ES fondu 2021.-2027.gada plānošanas perioda Uzraudzības komitejā apstiprinātajiem projektu iesniegumu vērtēšanas kritērijiem (vai ir/nav nepieciešami kritēriju grozījumi), ņemot vēra, ka tiek precizēts noteikumu 22.punkts, kas attiecas uz projektu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attiecīgos papildinājumus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plānotajiem grozījumiem MK noteikumos Nr. 538 būs ietekme uz 4.3.1.3. pasākuma īstenošanā esošajiem pirmās projektu iesniegumu atlases kārtas pirmajā uzsaukumā apstiprinātajiem projektiem un vai būs nepieciešami grozījumi ar finansējuma saņēmējiem noslēgtajās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attiecīgos papildinājumus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lūdzam precizēt finansiālo ietekmi uz pašvaldību budžetiem visiem gadiem (norādot to 15% apmērā no kopējām attiecināmajām izmaksām), attiecīgi precizējot arī anotācijas 3.sadaļas 3.3. un 5.3.apakšpunktus. Piemēram, ja 2025.gadā plānotais papildus ERAF finansējums ir 5 500 000 euro, tad pašvaldību līdzfinansējumam jābūt 970 588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2.punktā norādīto 2026.-2028.gada budžeta izdevumu kopsumma neveido 4.3.1.3. pasākumam “Sociālo mājokļu atjaunošana vai jaunu sociālo mājokļu būvniecība” kopējo plānoto finansējuma palielinājumu 21 750 000 euro apmērā, attiecīgi lūdzam veikt precizējumus. Vienlaikus punktā “Cita informācija” lūdzam sniegt informāciju par finansējuma palielinājuma avotu, norādot pasākumu no kura tiks veikta Eiropas Reģionālās attīstības fonda finansējuma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vispārīgo un specifisko darbību redakciju atbilstoši  veiktajiem grozījumiem vadlīnijās “Horizontālais princips “Vienlīdzība, iekļaušana, nediskriminācija un pamattiesību ievērošana”. Vadlīnijas īstenošanai un uzraudzībai (2021-2027)”. Grozījumi ir saistoši visām projektu iesniegumu atlasēm, kuras sākas no 2025. gada 5. 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pasākumam ir netieša ietekme uz horizontālo principu “Vienlīdzība, iekļaušana, nediskriminācija un pamattiesību ievērošana”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tiks īstenotas horizontālā principa "Vienlīdzība, iekļaušana, nediskriminācija un pamattiesību ievērošana" darbības.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w:t>
            </w:r>
            <w:r w:rsidR="00000000" w:rsidRPr="00000000" w:rsidDel="00000000">
              <w:rPr>
                <w:u w:val="single"/>
                <w:rtl w:val="0"/>
              </w:rPr>
              <w:t xml:space="preserve">vai finansējuma saņēmēja</w:t>
            </w:r>
            <w:r w:rsidR="00000000" w:rsidRPr="00000000" w:rsidDel="00000000">
              <w:rPr>
                <w:rtl w:val="0"/>
              </w:rPr>
              <w:t xml:space="preserve">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00000000" w:rsidRPr="00000000" w:rsidDel="00000000">
              <w:rPr>
                <w:u w:val="single"/>
                <w:rtl w:val="0"/>
              </w:rPr>
              <w:t xml:space="preserve">(skat. LM metodisko materiālu “Ceļvedis iekļaujošas vides veidošanai valsts un pašvaldību iestādēs (2020) https://www.lm.gov.lv/lv/celvedis-ieklaujosas-vides-veidosanai-valsts-un-pasvaldibu-iestades-2020 )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w:t>
            </w:r>
            <w:r w:rsidR="00000000" w:rsidRPr="00000000" w:rsidDel="00000000">
              <w:rPr>
                <w:u w:val="single"/>
                <w:rtl w:val="0"/>
              </w:rPr>
              <w:t xml:space="preserve">veicina mazāk pārstāvētā dzimuma piesaisti, personu ar invaliditāti piesaisti un nediskriminē  pēc rases, etniskās izcelsmes, dzimuma, vecuma, invaliditātes, reliģiskās, pārliecības,  seksuālās orientācijas vai citiem apstākļiem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w:t>
            </w:r>
            <w:r w:rsidR="00000000" w:rsidRPr="00000000" w:rsidDel="00000000">
              <w:rPr>
                <w:u w:val="single"/>
                <w:rtl w:val="0"/>
              </w:rPr>
              <w:t xml:space="preserve">un vizuālās identitātes </w:t>
            </w:r>
            <w:r w:rsidR="00000000" w:rsidRPr="00000000" w:rsidDel="00000000">
              <w:rPr>
                <w:rtl w:val="0"/>
              </w:rPr>
              <w:t xml:space="preserve">aktivitātes, </w:t>
            </w:r>
            <w:r w:rsidR="00000000" w:rsidRPr="00000000" w:rsidDel="00000000">
              <w:rPr>
                <w:u w:val="single"/>
                <w:rtl w:val="0"/>
              </w:rPr>
              <w:t xml:space="preserve">to saturs tiks rūpīgi izvērtēts un </w:t>
            </w:r>
            <w:r w:rsidR="00000000" w:rsidRPr="00000000" w:rsidDel="00000000">
              <w:rPr>
                <w:rtl w:val="0"/>
              </w:rPr>
              <w:t xml:space="preserve">tiks izvēlēta valoda un vizuālie tēli, kas mazina diskrimināciju un stereotipu veidošanos </w:t>
            </w:r>
            <w:r w:rsidR="00000000" w:rsidRPr="00000000" w:rsidDel="00000000">
              <w:rPr>
                <w:u w:val="single"/>
                <w:rtl w:val="0"/>
              </w:rPr>
              <w:t xml:space="preserve">vai uzturēšanu</w:t>
            </w:r>
            <w:r w:rsidR="00000000" w:rsidRPr="00000000" w:rsidDel="00000000">
              <w:rPr>
                <w:rtl w:val="0"/>
              </w:rPr>
              <w:t xml:space="preserve"> par kādu no dzimumiem, personām ar invaliditāti, reliģisko pārliecību, vecumu, rasi un etnisko izcelsmi vai seksuālo orientāciju (skat. metodisko materiālu “Ieteikumi diskrimināciju un stereotipus mazinošai komunikācijai ar sabiedrību” </w:t>
            </w:r>
            <w:r w:rsidR="00000000" w:rsidRPr="00000000" w:rsidDel="00000000">
              <w:rPr>
                <w:u w:val="single"/>
                <w:rtl w:val="0"/>
              </w:rPr>
              <w:t xml:space="preserve">(https://www.lm.gov.lv/lv/media/18838/download);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publiskās ēkas būvniecības vai atjaunošanas procesā objektam</w:t>
            </w:r>
            <w:r w:rsidR="00000000" w:rsidRPr="00000000" w:rsidDel="00000000">
              <w:rPr>
                <w:rtl w:val="0"/>
              </w:rPr>
              <w:t xml:space="preserve"> tiks veikts vides un informācijas piekļūstamības pašnovērtējums</w:t>
            </w:r>
            <w:r w:rsidR="00000000" w:rsidRPr="00000000" w:rsidDel="00000000">
              <w:rPr>
                <w:u w:val="single"/>
                <w:rtl w:val="0"/>
              </w:rPr>
              <w:t xml:space="preserve">, kur</w:t>
            </w:r>
            <w:r w:rsidR="00000000" w:rsidRPr="00000000" w:rsidDel="00000000">
              <w:rPr>
                <w:rtl w:val="0"/>
              </w:rPr>
              <w:t xml:space="preserve"> iegūto punktu skaits nav zemāks par 8 </w:t>
            </w:r>
            <w:r w:rsidR="00000000" w:rsidRPr="00000000" w:rsidDel="00000000">
              <w:rPr>
                <w:u w:val="single"/>
                <w:rtl w:val="0"/>
              </w:rPr>
              <w:t xml:space="preserve">(LM vides un informācijas piekļūstamības pašnovērtējuma metodika pieejama šeit: https://www.lm.gov.lv/lv/vides-pieklustamibas-pasnovertejums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w:t>
            </w:r>
            <w:r w:rsidR="00000000" w:rsidRPr="00000000" w:rsidDel="00000000">
              <w:rPr>
                <w:u w:val="single"/>
                <w:rtl w:val="0"/>
              </w:rPr>
              <w:t xml:space="preserve">vides un informācijas, aprīkojuma, informācijas tehnoloģiju risinājumu piekļūstamību personām ar dažādiem funkcionēšanas ierobežojumiem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papildus būvnormatīvā LBN 200-21 noteiktajam</w:t>
            </w:r>
            <w:r w:rsidR="00000000" w:rsidRPr="00000000" w:rsidDel="00000000">
              <w:rPr>
                <w:rtl w:val="0"/>
              </w:rPr>
              <w:t xml:space="preserve">,  projekta ietvaros tiks īstenotas labās prakses darbības, kas īpaši veicina vides un informācijas piekļūstamību cilvēkiem ar funkcionēšanas ierobežojumiem (piemērus skatīt LM izstrādātajos materiālos par vides </w:t>
            </w:r>
            <w:r w:rsidR="00000000" w:rsidRPr="00000000" w:rsidDel="00000000">
              <w:rPr>
                <w:u w:val="single"/>
                <w:rtl w:val="0"/>
              </w:rPr>
              <w:t xml:space="preserve">un informācijas piekļūstamības labās prakses  un nepārdomātu risinājumu piemēriem. Pieejams šeit: https://www.lm.gov.lv/lv/labas-prakses-piemeri-2)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attiecīgo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vispārīgo un specifisko darbību redakciju atbilstoši  veiktajiem grozījumiem vadlīnijās “Horizontālais princips “Vienlīdzība, iekļaušana, nediskriminācija un pamattiesību ievērošana”. Vadlīnijas īstenošanai un uzraudzībai (2021-2027)”. Grozījumi ir saistoši visām projektu iesniegumu atlasēm, kuras sākas no 2025. gada 5. 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tiks īstenotas horizontālā principa "Vienlīdzība, iekļaušana, nediskriminācija un pamattiesību ievērošana" darbības.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w:t>
            </w:r>
            <w:r w:rsidR="00000000" w:rsidRPr="00000000" w:rsidDel="00000000">
              <w:rPr>
                <w:u w:val="single"/>
                <w:rtl w:val="0"/>
              </w:rPr>
              <w:t xml:space="preserve">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w:t>
            </w:r>
            <w:r w:rsidR="00000000" w:rsidRPr="00000000" w:rsidDel="00000000">
              <w:rPr>
                <w:u w:val="single"/>
                <w:rtl w:val="0"/>
              </w:rPr>
              <w:t xml:space="preserve">un vizuālās identitātes </w:t>
            </w:r>
            <w:r w:rsidR="00000000" w:rsidRPr="00000000" w:rsidDel="00000000">
              <w:rPr>
                <w:rtl w:val="0"/>
              </w:rPr>
              <w:t xml:space="preserve">aktivitātes, </w:t>
            </w:r>
            <w:r w:rsidR="00000000" w:rsidRPr="00000000" w:rsidDel="00000000">
              <w:rPr>
                <w:u w:val="single"/>
                <w:rtl w:val="0"/>
              </w:rPr>
              <w:t xml:space="preserve">to saturs tiks rūpīgi izvērtēts un </w:t>
            </w:r>
            <w:r w:rsidR="00000000" w:rsidRPr="00000000" w:rsidDel="00000000">
              <w:rPr>
                <w:rtl w:val="0"/>
              </w:rPr>
              <w:t xml:space="preserve">tiks izvēlēta valoda un vizuālie tēli, kas mazina diskrimināciju un stereotipu veidošanos </w:t>
            </w:r>
            <w:r w:rsidR="00000000" w:rsidRPr="00000000" w:rsidDel="00000000">
              <w:rPr>
                <w:u w:val="single"/>
                <w:rtl w:val="0"/>
              </w:rPr>
              <w:t xml:space="preserve">vai uzturēšanu</w:t>
            </w:r>
            <w:r w:rsidR="00000000" w:rsidRPr="00000000" w:rsidDel="00000000">
              <w:rPr>
                <w:rtl w:val="0"/>
              </w:rPr>
              <w:t xml:space="preserve"> par kādu no dzimumiem, personām ar invaliditāti, reliģisko pārliecību, vecumu, rasi un etnisko izcelsmi vai seksuālo orientāciju (skat. metodisko materiālu “Ieteikumi diskrimināciju un stereotipus mazinošai komunikācijai ar sabiedrību” </w:t>
            </w:r>
            <w:r w:rsidR="00000000" w:rsidRPr="00000000" w:rsidDel="00000000">
              <w:rPr>
                <w:u w:val="single"/>
                <w:rtl w:val="0"/>
              </w:rPr>
              <w:t xml:space="preserve">(https://www.lm.gov.lv/lv/media/18838/download).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attiecīgo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8.2.sadaļu ar informāciju atbilstoši vadlīnijās “Horizontālais princips “Vienlīdzība, iekļaušana, nediskriminācija un pamattiesību ievērošana” vadlīnijas īstenošanai un uzraudzībai (2021-2027)” noteiktajam – ietekmes veidu uz horizontālo prioritāti “Vienlīdzība, iekļaušana, nediskriminācija un pamattiesību ievērošana” (turpmāk tekstā – HP VINPI) (tieša, netieša ietekme vai nav ietekmes), vērtēšanas kritērija veidu (specifiskais atbilstības kritērijs vai kvalitātes kritērijs) un HP VINPI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pasākumam ir netieša ietekme uz horizontālo principu “Vienlīdzība, iekļaušana, nediskriminācija un pamattiesību ievērošana” ievērošanai. Projekta iesniegumu vērtēšanas procesā tiek piemērots kvalitātes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finansējuma saņēmējs nosaka un uzkrāj datus par vismaz vienu horizontālā principa rādītāju vai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kuros ir nodrošināta vides un informācijas piekļūstamība,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par būvētās vides, informācijas un tehnoloģiju un to risinājumu  piekļūstamību personām ar dažādiem funkcionēšanas ierobežojumiem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attiecīgo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fondu sadarbības iestādei veikt 4.3.1.3. pasākuma "Sociālo mājokļu atjaunošana vai jaunu sociālo mājokļu būvniecība" 2.atlases kārtas projektu iesniegumu atlases ietvaros iesniegto projektu iesniegumu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šādā redakcijā, lai nodrošinātu normas viennozīmīgu izpratni tās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fondu sadarbības iestādei veikt 4.3.1.3. pasākuma "Sociālo mājokļu atjaunošana vai jaunu sociālo mājokļu būvniecība" (turpmāk – 4.3.1.3. pasākums) otrās projekta iesniegumu atlases kārtas projektu iesniegumu atlasi par visu minētajai atlases kārtai plānoto finansējumu, t.sk. Eiropas Reģionālās attīstības fonda (turpmāk – ERAF) elastības finansējumu ne vairāk kā 4 926 945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projekta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fondu sadarbības iestādei veikt 4.3.1.3. pasākuma "Sociālo mājokļu atjaunošana vai jaunu sociālo mājokļu būvniecība" (turpmāk – 4.3.1.3. pasākums) otrās projekta iesniegumu atlases kārtas projektu iesniegumu atlasi par visu minētajai atlases kārtai plānoto finansējumu, t.sk. Eiropas Reģionālās attīstības fonda (turpmāk – ERAF) elastības finansējumu ne vairāk kā 4 926 945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izsludināt pasākuma 2.kārtas projektu iesniegumu atlasi par kopējo atlasei paredzēto ERAF finansējumu (ar elastības finansējumu) un slēgt vienošanās par projektu īstenošanu pēc pozitīva Eiropas Komisijas lēmuma saņemšanas par grozījumiem Eiropas Savienības kohēzijas politikas programmā 2021.-2027. gadam (</w:t>
            </w:r>
            <w:r w:rsidR="00000000" w:rsidRPr="00000000" w:rsidDel="00000000">
              <w:rPr>
                <w:i w:val="1"/>
                <w:rtl w:val="0"/>
              </w:rPr>
              <w:t xml:space="preserve">Grozījumi Ministru kabineta 2021. gada 16. novembra rīkojumā Nr. 841 "Par Eiropas Savienības kohēzijas politikas programmu 2021.–2027. gadam"; 25-TA-321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protokollēmuma projekta 3.punktu, piemēram, šādā redakcijā, salāgojot ar redakciju, kas ir iestrādāta ES kohēzijas politikas programmas 2021.-2027.gadam grozījumu Nr.3 MK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kā Eiropas Savienības fondu sadarbības iestādei veikt 4.3.1.3. pasākuma "Sociālo mājokļu atjaunošana vai jaunu sociālo mājokļu būvniecība" 2.atlases kārtas projektu iesniegumu atlases ietvaros iesniegto projektu iesniegumu vērtēšanu un, pēc projektu iesniegumu apstiprināšanas, slēgt ar finansējuma saņēmējiem vienošanās par projektu īstenošanu otrās projektu iesniegumu atlases kārtai, tai skaitā, par ERAF elastības finansējumu ne vairāk kā 4 926 945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protokollēmuma projekta 3.punkta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fondu sadarbības iestādei veikt 4.3.1.3. pasākuma "Sociālo mājokļu atjaunošana vai jaunu sociālo mājokļu būvniecība" (turpmāk – 4.3.1.3. pasākums) otrās projekta iesniegumu atlases kārtas projektu iesniegumu atlasi par visu minētajai atlases kārtai plānoto finansējumu, t.sk. Eiropas Reģionālās attīstības fonda (turpmāk – ERAF) elastības finansējumu ne vairāk kā 4 926 945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Centrālajai finanšu un līgumu aģentūrai kā Eiropas Savienības fondu sadarbības iestādei pēc projektu iesniegumu apstiprināšanas 4.3.1.3. pasākuma "Sociālo mājokļu atjaunošana vai jaunu sociālo mājokļu būvniecība" 2.atlases kārtas projektu iesniegumu atlases ietvaros slēgt ar finansējuma saņēmējiem vienošanās par projektu īstenošanu, tai skaitā, par ERAF elastības finansējumu ne vairāk kā 4 926 945</w:t>
            </w:r>
            <w:r w:rsidR="00000000" w:rsidRPr="00000000" w:rsidDel="00000000">
              <w:rPr>
                <w:i w:val="1"/>
                <w:rtl w:val="0"/>
              </w:rPr>
              <w:t xml:space="preserve"> euro</w:t>
            </w:r>
            <w:r w:rsidR="00000000" w:rsidRPr="00000000" w:rsidDel="00000000">
              <w:rPr>
                <w:rtl w:val="0"/>
              </w:rPr>
              <w:t xml:space="preserve"> apmērā, pēc Eiropas Komisijas lēmuma par grozījumiem Programmā, kas skar 4.3.1.3. pasākuma otrās projektu iesniegumu atlases kārtas elastības finansējuma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sēdes protokollēmuma projekta 4.punktu šādā redakcijā, lai nodrošinātu viennozīmīgu normas izpratni tās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Centrālajai finanšu un līgumu aģentūrai kā Eiropas Savienības fondu sadarbības iestādei pēc projektu iesniegumu apstiprināšanas 4.3.1.3. pasākuma otrās atlases kārtas projektu iesniegumu atlases ietvaros slēgt ar finansējuma saņēmējiem līgumu vai vienošanās par projektu īstenošanu par ERAF elastības finansējumu ne vairāk kā 4 926 945 euro apmērā, pēc pozitīva Eiropas Komisijas lēmuma par grozījumiem Eiropas Savienības kohēzijas politikas programmā 2021.–2027. gadam (turpmāk – Programma), kas skar 4.3.1.3. pasākuma otrās projektu iesniegumu atlases kārtas elastības finansējuma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Centrālajai finanšu un līgumu aģentūrai kā Eiropas Savienības fondu sadarbības iestādei pēc projektu iesniegumu apstiprināšanas 4.3.1.3. pasākuma otrās atlases kārtas projektu iesniegumu atlases ietvaros slēgt ar finansējuma saņēmējiem līgumus vai vienošanās par projektu īstenošanu par ERAF elastības finansējumu ne vairāk kā 4 926 945 </w:t>
            </w:r>
            <w:r w:rsidR="00000000" w:rsidRPr="00000000" w:rsidDel="00000000">
              <w:rPr>
                <w:i w:val="1"/>
                <w:rtl w:val="0"/>
              </w:rPr>
              <w:t xml:space="preserve">euro</w:t>
            </w:r>
            <w:r w:rsidR="00000000" w:rsidRPr="00000000" w:rsidDel="00000000">
              <w:rPr>
                <w:rtl w:val="0"/>
              </w:rPr>
              <w:t xml:space="preserve"> apmērā, pēc pozitīva Eiropas Komisijas lēmuma par grozījumiem Eiropas Savienības kohēzijas politikas programmā 2021.–2027. gadam (turpmāk – Programma), kas skar 4.3.1.3. pasākuma otrās projektu iesniegumu atlases kārtas elastības finansējuma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 gadam, Ekonomikas ministrijai sagatavot un Ekonomikas ministram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4.punktu, piemēram, šādā redakcijā, salāgojot ar redakciju, kas ir iestrādāta ES kohēzijas politikas programmas 2021.-2027.gadam grozījumu Nr.3 MK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saņemts pozitīvs Eiropas Komisijas lēmums par grozījumiem Programmā, kas skar 4.3.1.3. pasākuma otrās projektu iesniegumu atlases kārtas elastības finansējuma izmantošanu, Ekonomikas ministrijai sagatavot un iesniegt izskatīšanai Ministru kabinetā informatīvo ziņojumu par priekšlikumiem turpmākai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protokollēmuma projekta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netiek saņemts pozitīvs Eiropas Komisijas lēmums par grozījumiem Programmā, kas skar 4.3.1.3. pasākuma otrās projektu iesniegumu atlases kārtas elastības finansējuma izmantošanu, Ekonomikas ministrijai sagatavot un iesniegt izskatīšanai Ministru kabinetā informatīvo ziņojumu par priekšlikumiem turpmākai rīcībai.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2025. gada 21. februārī Ministru prezidentes Evikas Siliņas paziņotās valdības 4x4 prioritātes 2025. gadam, ikgadējā ziņojumā Saeimai iekļauto apņemšanos 2025. gadā turpināt darbu pie birokrātijas mazināšanas pasākumiem ES fondu apguvē un publisko iepirkumu jomā, un 2024. gada 20. janvārī apstiprinātā Valsts rīcības plāna pasākuma 35.4. darbības rezultātu: pārskatītas un iespēju robežās mazinātas nacionālajos horizontālajos un specifisko atbalsta mērķu ieviešanu regulējošajos normatīvajos aktos noteiktās prasības, aicinām Ekonomikas ministriju pārskatīt 4.3.1.3.pasakuma normatīvo regulējumu un pēc iespējas mazināt finansējuma saņēmējam administratīvo slogu un atteikties no prasībām, kas nav noteiktas kā obligātas saskaņā ar ES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4.3.1.3. pasākuma ieviešanu regulējošās prasības un neidentifciē tādas prasības, kuras uzliktu finansējuma saņēmējiem nepamatotu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protokollēmuma projektu tiek paredzēts izsludināt pasākuma 2.kārtas atlasi arī par elastības finansējuma apjomu, lūdzam noteikumu MK noteikumu Nr.538 4.punktā paredzēt, ka 2.kārtas projektos kopsummā tiek sasniegts viss 2.kārtā noteiktais ES kohēzijas politikas programmas 2021.-2027.gadam iznākuma un rezultāta rādītāja apjoms. lūdzam atbilstoši precizēt noteikumu 4.1.1. un 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4.1.1. un 4.2. apakšpunktu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82 650 001 </w:t>
            </w:r>
            <w:r w:rsidR="00000000" w:rsidRPr="00000000" w:rsidDel="00000000">
              <w:rPr>
                <w:i w:val="1"/>
                <w:rtl w:val="0"/>
              </w:rPr>
              <w:t xml:space="preserve">euro </w:t>
            </w:r>
            <w:r w:rsidR="00000000" w:rsidRPr="00000000" w:rsidDel="00000000">
              <w:rPr>
                <w:rtl w:val="0"/>
              </w:rPr>
              <w:t xml:space="preserve"> (no tā elastības finansējums – 13 035 996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11 080 598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1 955 398 </w:t>
            </w:r>
            <w:r w:rsidR="00000000" w:rsidRPr="00000000" w:rsidDel="00000000">
              <w:rPr>
                <w:i w:val="1"/>
                <w:rtl w:val="0"/>
              </w:rPr>
              <w:t xml:space="preserve">euro</w:t>
            </w:r>
            <w:r w:rsidR="00000000" w:rsidRPr="00000000" w:rsidDel="00000000">
              <w:rPr>
                <w:rtl w:val="0"/>
              </w:rPr>
              <w:t xml:space="preserve">), no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palielināts pasākumam plānotais finansējums, lūdzam papildināt anotāciju ar informāciju par abu kārtu un uzsaukumu finansējuma sadalījumu pa intervences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82 650 001 </w:t>
            </w:r>
            <w:r w:rsidR="00000000" w:rsidRPr="00000000" w:rsidDel="00000000">
              <w:rPr>
                <w:i w:val="1"/>
                <w:rtl w:val="0"/>
              </w:rPr>
              <w:t xml:space="preserve">euro </w:t>
            </w:r>
            <w:r w:rsidR="00000000" w:rsidRPr="00000000" w:rsidDel="00000000">
              <w:rPr>
                <w:rtl w:val="0"/>
              </w:rPr>
              <w:t xml:space="preserve"> (no tā elastības finansējums – 13 035 996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11 080 598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1 955 398 </w:t>
            </w:r>
            <w:r w:rsidR="00000000" w:rsidRPr="00000000" w:rsidDel="00000000">
              <w:rPr>
                <w:i w:val="1"/>
                <w:rtl w:val="0"/>
              </w:rPr>
              <w:t xml:space="preserve">euro</w:t>
            </w:r>
            <w:r w:rsidR="00000000" w:rsidRPr="00000000" w:rsidDel="00000000">
              <w:rPr>
                <w:rtl w:val="0"/>
              </w:rPr>
              <w:t xml:space="preserve">), no kura: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salīdzinājumā ar iepriekšējo noteikumu (grozījumu) projekta redakciju tiek precizēta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(turpmāk - noteikumi Nr. 538) 23. punkta apakšpunktu numerācija, lūdzam pārskatīt noteikumu (grozījumu) projektā un noteikumos Nr. 538 ietvertās atsauces uz 23.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tehniskā kļūda, lūdzam skatīt aktualizēto tiesību akta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Ventspils novada pašvaldības lūguma aicinām kā attiecināmās izmaksas atbalstīt arī ieguldījumus koplietošanas telpās (lodžijas, balkoni). Atsevišķajiem dzīvokļiem.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Siguldas novada pašvaldības pieredzes, kur atsevišķos dzīvokļos vismaz vienu dzīvokli lika izveidot pielāgotu, aicinām izvērtēt, vai attiecināmajās izmaksās nevajadzētu iekļaut rampas izveides izmaksas (iekļūšanai personām ar ierobežotām pārvietošanās 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dzīvojamās mājas un tās ārtelpu (galeriju,balkonu, lodžiju, terašu) ārējas norobežojošās konstrukcijas atbilstoši Dzīvokļa īpašuma likuma tiesiskajam regulējumam ietilpst kopīpašumā esošajā daļā, tātad kalpo dzīvojamās mājas dzīvokļu īpašnieku kopējām interesēm, arī tā daļas - piemēram, balkona betona plātnes un hidroizolācijas slāņi ietilpst kopīpašumā esošajā daļā, un izrietoši izdevumus par kopīpašumā esošas daļas remontdarbiem sedz visi dzīvokļu īpašnieki kopā atbilstoši dzīvokļa īpašumā ietilpstošās kopīpašuma domājamās daļas apmēram. Arī balkona apdares darbi, pie kuriem pieder balkona plātnes virsējā slāņa apstrāde, piemēram, ar laku, krāsu, apdares vasku, apdares eļļu, ir pieskaitāmi pie darbiem, kas nepieciešami kopīpašumam (balkonam), lai saglabātu tā īpašības un pasargātu no mitruma, sniega, lietus un sala. Līdz ar to arī par šiem darbiem izdevumus sedz visi dzīvokļu īpašnieki atbilstoši dzīvokļa īpašumā ietilpstošās kopīpašuma domājamās daļas apmēram. Turpretim balkona, kuru kā atsevišķo īpašumu var lietot tikai konkrētā dzīvokļa īpašnieks un kas kalpo tikai dzīvokļa īpašnieka interesēm, grīdas segums (piemēram, flīzes, epoksīda sveķu pārklājums ar smiltīm) ir atsevišķā īpašuma daļa, līdz ar to izdevumus par ieguldījumiem tajos sedz konkrētā dzīvokļa īpašnieks. Līdz ar to nolūkā nodrošināt to, ka gadījumos, kad projekts tiek īstenots par atsevišķu telpu grupu atjaunošanu/pārbūvi, ieguldījumiem ir jāaprobežojas ar atsevišķo īpašumu. Tas nozīmē, ka katrā individuālā gadījumā ir vērtējams konkrēto darbu raksturs, lai secinātu, vai konkrētās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ir relevants arī attiecībā uz priekšlikumā izteikto par citiem kopīpašuma elementiem.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priekšlikumā ietverto saistībā ar 1.kārtas ietvaros izvirzīto prasību par vismaz viena objekta pielāgošanu personām ar funkcionāliem traucējumiem, paskaidrojam, ka, vērtējot projekta iesnieguma atbilstību kvalitātes kritērijam, tika izvirzīta prasība projekta iesniegumā ietvert izvērtējumu par to, vai vismaz vienu dzīvokli projekta ietvaros nav iespējams pielāgot personām ar kustību traucējumiem, proti, šāda prasība kā tāda nebija izvirzīta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Nr. 538 24. punktā un 40.20. apakšpunktā noteiktās prasības, atbilstoši Finanšu ministrijas 2025. gada 3. aprīļa vēstulē Nr. 5.1-24/21/1043 par administratīvā sloga mazināšanu un normatīvā regulējuma pārskatīšanu minētajam. Vienlaikus lūdzam attiecīgi pārskatīt 4.3.1.3. pasākuma "Sociālo mājokļu atjaunošana vai jaunu sociālo mājokļu būvniecība" projektu iesniegumu 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Nr.538 24.punktā ietvertajām prasībām kontekstā ar Finanšu ministrijas 2025. gada 3. aprīļa vēstulē Nr. 5.1-24/21/1043 par administratīvā sloga mazināšanu un normatīvā regulējuma pārskatīšanu minēto, informējam, ka pasākuma ietvaros projektu iesniegumi uz to iesniegšanas brīdi atbilstoši 24.punkta prasībām jau šobrīd ir uzskatāmi par projektiem ar zemu gatavības pakāpi. Līdz ar to, Ekonomikas ministrijas ieskatā, prasību mazināšana, ņemot vērā atbalstāmās darbības pasākuma ietvaros,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40.2. apakšpunktā ietverto prasību par horizontālo principu un datu uzkrāšanu, informējam, ka minētais pienākums uzkrāt datus jau šobrīd ir piemērojams, ja tas attiecas uz konkrēto projektu. Proti, ja projekta iesniegumā ir paredzētas darbības, kas skar attiecīgos horizontālos principus, šos datus uzkrāj. Savukārt, ja darbības neskar šo principu ievērošanu, datus neuzkrāj. Attiecīgā pieeja ir nostiprināta vērtēšanas kritēriju piemērošanas metodikā un, ja būs nepieciešams, izstrādājot attiecīgās atlases nolikumu, šī pieeja tiks atkārtoti uzsvērta nolikumā ietvertajos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aizstājot ar aktuālo regulu - Eiropas Parlamenta un Padomes 2024.gada 23.septembra Regulu (ES, Euratom) 2024/2509 par finanšu noteikumiem, ko piemēro Savienības vispārējam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40.2.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Nr. 538 40.2.apakšpunktā precizēt regulas atsauces,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40.2.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r w:rsidR="00000000" w:rsidRPr="00000000" w:rsidDel="00000000">
              <w:rPr>
                <w:vertAlign w:val="superscript"/>
                <w:rtl w:val="0"/>
              </w:rPr>
              <w:t xml:space="preserve">2</w:t>
            </w:r>
            <w:r w:rsidR="00000000" w:rsidRPr="00000000" w:rsidDel="00000000">
              <w:rPr>
                <w:rtl w:val="0"/>
              </w:rPr>
              <w:t xml:space="preserve"> 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 minētajā dzīvojamā mājā vismaz viens dzīvoklis ir pielāgots personām ar kustību funkcionāliem traucējumiem, tai skaitā, personām, kuras pārvietojas riteņkrēslos;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"funkcionāliem"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40.8.2 nodrošina, ka šo noteikumu 23.3. un 23.4. apakšpunktā minētajā dzīvojamā mājā vismaz viens dzīvoklis ir pielāgots personām ar kustību traucējumiem, tai skaitā, personām, kuras pārvietojas riteņkrēslos;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40.8.</w:t>
            </w:r>
            <w:r w:rsidR="00000000" w:rsidRPr="00000000" w:rsidDel="00000000">
              <w:rPr>
                <w:vertAlign w:val="superscript"/>
                <w:rtl w:val="0"/>
              </w:rPr>
              <w:t xml:space="preserve">2</w:t>
            </w:r>
            <w:r w:rsidR="00000000" w:rsidRPr="00000000" w:rsidDel="00000000">
              <w:rPr>
                <w:rtl w:val="0"/>
              </w:rPr>
              <w:t xml:space="preserve">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r w:rsidR="00000000" w:rsidRPr="00000000" w:rsidDel="00000000">
              <w:rPr>
                <w:vertAlign w:val="superscript"/>
                <w:rtl w:val="0"/>
              </w:rPr>
              <w:t xml:space="preserve">2</w:t>
            </w:r>
            <w:r w:rsidR="00000000" w:rsidRPr="00000000" w:rsidDel="00000000">
              <w:rPr>
                <w:rtl w:val="0"/>
              </w:rPr>
              <w:t xml:space="preserve"> 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minētajā dzīvojamā mājā vismaz viens dzīvoklis ir pielāgots personām ar kustību traucējumiem, tai skaitā, personām, kuras pārvietojas riteņkrēslos;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w:t>
            </w:r>
            <w:r w:rsidR="00000000" w:rsidRPr="00000000" w:rsidDel="00000000">
              <w:rPr>
                <w:rtl w:val="0"/>
              </w:rPr>
              <w:t xml:space="preserve">23.3.</w:t>
            </w:r>
            <w:r w:rsidR="00000000" w:rsidRPr="00000000" w:rsidDel="00000000">
              <w:rPr>
                <w:rtl w:val="0"/>
              </w:rPr>
              <w:t xml:space="preserve">un </w:t>
            </w:r>
            <w:r w:rsidR="00000000" w:rsidRPr="00000000" w:rsidDel="00000000">
              <w:rPr>
                <w:rtl w:val="0"/>
              </w:rPr>
              <w:t xml:space="preserve">23.4.</w:t>
            </w:r>
            <w:r w:rsidR="00000000" w:rsidRPr="00000000" w:rsidDel="00000000">
              <w:rPr>
                <w:rtl w:val="0"/>
              </w:rPr>
              <w:t xml:space="preserve"> apakšpunktā minēto atbalstāmo darbību īstenošanas rezultātā  izīrējamajos dzīvokļos papildus nodrošina, ka virtuve ir aprīkota ar iebūvēto virtuves iekārtu (virtuves skapīšiem un plīti).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finansējuma saņēmējam būtu skaidri definēti nosacījumi, aicinām šo noteikumu apakšpunktu izteikt šādā redakcijā "40.10. nodrošina, ka šo noteikumu 23.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Šo noteikumu 23.3.un 23.4. apakšpunktā minēto atbalstāmo darbību īstenošanas rezultātā izīrējamajos dzīvokļos papildus nodrošina, ka virtuve ir aprīkota ar iebūvēto virtuves iekārtu un iebūvētajām elektroiekārtām, kas nodrošina šīs telpas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40.10.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Ja telpa ir aprīkota ar vannu un telpas izmēra dēļ to nav iespējams aprīkot arī ar izlietni, finansējuma saņēmējam ir tiesības, attiecīgi to pamatojot, atkāpties no prasības par telpas aprīkojuma ar izlietni;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40.19.1. objektu skaits, kuros ar ERAF ieguldījumiem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rādītāju redakciju atbilstoši  veiktajiem grozījumiem vadlīnijās “Horizontālais princips “Vienlīdzība, iekļaušana, nediskriminācija un pamattiesību ievērošana”. Vadlīnijas īstenošanai un uzraudzībai (2021-2027)”. Grozījumi ir saistoši visām projektu iesniegumu atlasēm, kuras sākas no 2025. gada 5. 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40.19.1. objektu, kuros ir nodrošināta vides un informācijas piekļūstamība,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40.19.1.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40.19.1. objektu, kuros ir nodrošināta vides un informācijas piekļūstamība,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40.19.2. veiktā vides un informācijas piekļūstamības pašnovērtējuma rezultāti atbilstoši Labklājības ministrijas izstrādātajai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rādītāju redakciju atbilstoši  veiktajiem grozījumiem vadlīnijās “Horizontālais princips “Vienlīdzība, iekļaušana, nediskriminācija un pamattiesību ievērošana”. Vadlīnijas īstenošanai un uzraudzībai (2021-2027)”. Grozījumi ir saistoši visām projektu iesniegumu atlasēm, kuras sākas no 2025. gada 5. 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40.19.2. veikto vides un informācijas piekļūstamības pašnovērtējumu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40.19.2.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40.19.2. veikto vides un informācijas piekļūstamības pašnovērtējumu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40.19.3. konsultatīva rakstura pasākumu skaits par jaunbūvētās vides piekļūstamību personām ar dažādiem funkcionāliem traucējumiem (piemēram, vides piekļūstamības ekspertu konsultācijas būvprojekta izstrādes un pabeigšanas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rādītāju redakciju atbilstoši  veiktajiem grozījumiem vadlīnijās “Horizontālais princips “Vienlīdzība, iekļaušana, nediskriminācija un pamattiesību ievērošana”. Vadlīnijas īstenošanai un uzraudzībai (2021-2027)”. Grozījumi ir saistoši visām projektu iesniegumu atlasēm, kuras sākas no 2025. gada 5.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40.19.3. konsultatīva rakstura pasākumu par būvētās vides, informācijas un tehnoloģiju un to risinājumu  piekļūstamību personām ar dažādiem funkcionēšanas ierobežojumiem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40.19.3.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40.19.3. konsultatīva rakstura pasākumu par būvētās vides, informācijas un tehnoloģiju un to risinājumu  piekļūstamību personām ar dažādiem funkcionēšanas ierobežojumiem skaits;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25-TA-378</w:t>
    </w:r>
    <w:r>
      <w:br/>
    </w:r>
    <w:r w:rsidR="00000000" w:rsidRPr="00000000" w:rsidDel="00000000">
      <w:rPr>
        <w:rtl w:val="0"/>
      </w:rPr>
      <w:t xml:space="preserve">29.04.2025. 09.21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25-TA-378</w:t>
    </w:r>
    <w:r>
      <w:br/>
    </w:r>
    <w:r w:rsidR="00000000" w:rsidRPr="00000000" w:rsidDel="00000000">
      <w:rPr>
        <w:rtl w:val="0"/>
      </w:rPr>
      <w:t xml:space="preserve">29.04.2025. 09.21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Izziņa_25-TA-378.docx</dc:title>
</cp:coreProperties>
</file>

<file path=docProps/custom.xml><?xml version="1.0" encoding="utf-8"?>
<Properties xmlns="http://schemas.openxmlformats.org/officeDocument/2006/custom-properties" xmlns:vt="http://schemas.openxmlformats.org/officeDocument/2006/docPropsVTypes"/>
</file>