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E9C" w:rsidRPr="00EB075A" w:rsidRDefault="00C53E9C" w:rsidP="00C53E9C">
      <w:pPr>
        <w:pStyle w:val="naisnod"/>
        <w:spacing w:before="0" w:after="0"/>
        <w:ind w:firstLine="720"/>
      </w:pPr>
      <w:r w:rsidRPr="00EB075A">
        <w:t>Izziņa par atzinumos sniegtajiem iebildumiem</w:t>
      </w:r>
    </w:p>
    <w:tbl>
      <w:tblPr>
        <w:tblW w:w="0" w:type="auto"/>
        <w:jc w:val="center"/>
        <w:tblLook w:val="00A0" w:firstRow="1" w:lastRow="0" w:firstColumn="1" w:lastColumn="0" w:noHBand="0" w:noVBand="0"/>
      </w:tblPr>
      <w:tblGrid>
        <w:gridCol w:w="10188"/>
      </w:tblGrid>
      <w:tr w:rsidR="00C53E9C" w:rsidRPr="00EB075A" w:rsidTr="00D65EFE">
        <w:trPr>
          <w:jc w:val="center"/>
        </w:trPr>
        <w:tc>
          <w:tcPr>
            <w:tcW w:w="10188" w:type="dxa"/>
            <w:tcBorders>
              <w:bottom w:val="single" w:sz="6" w:space="0" w:color="000000"/>
            </w:tcBorders>
          </w:tcPr>
          <w:p w:rsidR="00C53E9C" w:rsidRPr="00EB075A" w:rsidRDefault="00C53E9C" w:rsidP="00D65EFE">
            <w:pPr>
              <w:jc w:val="center"/>
            </w:pPr>
            <w:r w:rsidRPr="00EB075A">
              <w:rPr>
                <w:b/>
                <w:bCs/>
              </w:rPr>
              <w:t>par Ministru kabineta noteikumu projektu “Grozījumi Ministru kabineta 2020. gada 11.</w:t>
            </w:r>
            <w:r>
              <w:rPr>
                <w:b/>
                <w:bCs/>
              </w:rPr>
              <w:t> </w:t>
            </w:r>
            <w:r w:rsidRPr="00EB075A">
              <w:rPr>
                <w:b/>
                <w:bCs/>
              </w:rPr>
              <w:t>februāra noteikumos Nr. 91 "Eiropas Ekonomikas zonas finanšu instrumenta 2014.–2021.</w:t>
            </w:r>
            <w:r>
              <w:rPr>
                <w:b/>
                <w:bCs/>
              </w:rPr>
              <w:t> </w:t>
            </w:r>
            <w:r w:rsidRPr="00EB075A">
              <w:rPr>
                <w:b/>
                <w:bCs/>
              </w:rPr>
              <w:t xml:space="preserve">gada perioda programmas "Starptautiskā policijas sadarbība un noziedzības apkarošana" īstenošanas noteikumi”, un tā anotāciju </w:t>
            </w:r>
          </w:p>
        </w:tc>
      </w:tr>
    </w:tbl>
    <w:p w:rsidR="00C53E9C" w:rsidRPr="00EB075A" w:rsidRDefault="00C53E9C" w:rsidP="00C53E9C">
      <w:pPr>
        <w:pStyle w:val="naisc"/>
        <w:spacing w:before="0" w:after="0"/>
        <w:ind w:firstLine="1080"/>
        <w:jc w:val="left"/>
      </w:pPr>
      <w:r w:rsidRPr="00EB075A">
        <w:t xml:space="preserve">                                                                        (dokumenta veids un nosaukums)</w:t>
      </w:r>
    </w:p>
    <w:p w:rsidR="00C53E9C" w:rsidRPr="00EB075A" w:rsidRDefault="00C53E9C" w:rsidP="00C53E9C">
      <w:pPr>
        <w:pStyle w:val="naisc"/>
        <w:spacing w:before="0" w:after="0"/>
        <w:ind w:firstLine="1080"/>
        <w:jc w:val="left"/>
      </w:pPr>
    </w:p>
    <w:p w:rsidR="00C53E9C" w:rsidRPr="00EB075A" w:rsidRDefault="00C53E9C" w:rsidP="00C53E9C">
      <w:pPr>
        <w:pStyle w:val="naisf"/>
        <w:numPr>
          <w:ilvl w:val="0"/>
          <w:numId w:val="1"/>
        </w:numPr>
        <w:spacing w:before="0" w:after="0"/>
        <w:jc w:val="center"/>
        <w:rPr>
          <w:b/>
        </w:rPr>
      </w:pPr>
      <w:r w:rsidRPr="00EB075A">
        <w:rPr>
          <w:b/>
        </w:rPr>
        <w:t>Jautājumi, par kuriem saskaņošanā vienošanās nav panākta</w:t>
      </w:r>
    </w:p>
    <w:tbl>
      <w:tblPr>
        <w:tblW w:w="1465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519"/>
        <w:gridCol w:w="3402"/>
        <w:gridCol w:w="4063"/>
        <w:gridCol w:w="1560"/>
        <w:gridCol w:w="2400"/>
      </w:tblGrid>
      <w:tr w:rsidR="00C53E9C" w:rsidRPr="00EB075A" w:rsidTr="00D65EFE">
        <w:tc>
          <w:tcPr>
            <w:tcW w:w="708" w:type="dxa"/>
            <w:tcBorders>
              <w:top w:val="single" w:sz="6" w:space="0" w:color="000000"/>
              <w:left w:val="single" w:sz="6" w:space="0" w:color="000000"/>
              <w:bottom w:val="single" w:sz="6" w:space="0" w:color="000000"/>
              <w:right w:val="single" w:sz="6" w:space="0" w:color="000000"/>
            </w:tcBorders>
            <w:vAlign w:val="center"/>
          </w:tcPr>
          <w:p w:rsidR="00C53E9C" w:rsidRPr="00EB075A" w:rsidRDefault="00C53E9C" w:rsidP="00D65EFE">
            <w:pPr>
              <w:pStyle w:val="naisc"/>
              <w:spacing w:before="0" w:after="0"/>
            </w:pPr>
            <w:r w:rsidRPr="00EB075A">
              <w:t>Nr. p.k.</w:t>
            </w:r>
          </w:p>
        </w:tc>
        <w:tc>
          <w:tcPr>
            <w:tcW w:w="2519" w:type="dxa"/>
            <w:tcBorders>
              <w:top w:val="single" w:sz="6" w:space="0" w:color="000000"/>
              <w:left w:val="single" w:sz="6" w:space="0" w:color="000000"/>
              <w:bottom w:val="single" w:sz="6" w:space="0" w:color="000000"/>
              <w:right w:val="single" w:sz="6" w:space="0" w:color="000000"/>
            </w:tcBorders>
            <w:vAlign w:val="center"/>
          </w:tcPr>
          <w:p w:rsidR="00C53E9C" w:rsidRPr="00EB075A" w:rsidRDefault="00C53E9C" w:rsidP="00D65EFE">
            <w:pPr>
              <w:pStyle w:val="naisc"/>
              <w:spacing w:before="0" w:after="0"/>
              <w:ind w:firstLine="12"/>
            </w:pPr>
            <w:r w:rsidRPr="00EB075A">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rsidR="00C53E9C" w:rsidRPr="00EB075A" w:rsidRDefault="00C53E9C" w:rsidP="00D65EFE">
            <w:pPr>
              <w:pStyle w:val="naisc"/>
              <w:spacing w:before="0" w:after="0"/>
              <w:ind w:right="3"/>
            </w:pPr>
            <w:r w:rsidRPr="00EB075A">
              <w:t>Atzinumā norādītais ministrijas (citas institūcijas) iebildums, kā arī saskaņošanā papildus izteiktais iebildums par projekta konkrēto punktu (pantu)</w:t>
            </w:r>
          </w:p>
        </w:tc>
        <w:tc>
          <w:tcPr>
            <w:tcW w:w="4063" w:type="dxa"/>
            <w:tcBorders>
              <w:top w:val="single" w:sz="6" w:space="0" w:color="000000"/>
              <w:left w:val="single" w:sz="6" w:space="0" w:color="000000"/>
              <w:bottom w:val="single" w:sz="6" w:space="0" w:color="000000"/>
              <w:right w:val="single" w:sz="6" w:space="0" w:color="000000"/>
            </w:tcBorders>
            <w:vAlign w:val="center"/>
          </w:tcPr>
          <w:p w:rsidR="00C53E9C" w:rsidRPr="00EB075A" w:rsidRDefault="00C53E9C" w:rsidP="00D65EFE">
            <w:pPr>
              <w:pStyle w:val="naisc"/>
              <w:spacing w:before="0" w:after="0"/>
              <w:ind w:firstLine="21"/>
            </w:pPr>
            <w:r w:rsidRPr="00EB075A">
              <w:t>Atbildīgās ministrijas pamatojums iebilduma noraidījumam</w:t>
            </w:r>
          </w:p>
        </w:tc>
        <w:tc>
          <w:tcPr>
            <w:tcW w:w="1560"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jc w:val="center"/>
            </w:pPr>
            <w:r w:rsidRPr="00EB075A">
              <w:t>Atzinuma sniedzēja uzturētais iebildums, ja tas atšķiras no atzinumā norādītā iebilduma pamatojuma</w:t>
            </w:r>
          </w:p>
        </w:tc>
        <w:tc>
          <w:tcPr>
            <w:tcW w:w="2400" w:type="dxa"/>
            <w:tcBorders>
              <w:top w:val="single" w:sz="4" w:space="0" w:color="auto"/>
              <w:left w:val="single" w:sz="4" w:space="0" w:color="auto"/>
              <w:bottom w:val="single" w:sz="4" w:space="0" w:color="auto"/>
            </w:tcBorders>
            <w:vAlign w:val="center"/>
          </w:tcPr>
          <w:p w:rsidR="00C53E9C" w:rsidRPr="00EB075A" w:rsidRDefault="00C53E9C" w:rsidP="00D65EFE">
            <w:pPr>
              <w:jc w:val="center"/>
            </w:pPr>
            <w:r w:rsidRPr="00EB075A">
              <w:t>Projekta attiecīgā punkta (panta) galīgā redakcija</w:t>
            </w:r>
          </w:p>
        </w:tc>
      </w:tr>
      <w:tr w:rsidR="00C53E9C" w:rsidRPr="00EB075A" w:rsidTr="00D65EFE">
        <w:tc>
          <w:tcPr>
            <w:tcW w:w="708" w:type="dxa"/>
            <w:tcBorders>
              <w:top w:val="single" w:sz="6" w:space="0" w:color="000000"/>
              <w:left w:val="single" w:sz="6" w:space="0" w:color="000000"/>
              <w:bottom w:val="single" w:sz="6" w:space="0" w:color="000000"/>
              <w:right w:val="single" w:sz="6" w:space="0" w:color="000000"/>
            </w:tcBorders>
          </w:tcPr>
          <w:p w:rsidR="00C53E9C" w:rsidRPr="00EB075A" w:rsidRDefault="00C53E9C" w:rsidP="00D65EFE">
            <w:pPr>
              <w:pStyle w:val="naisc"/>
              <w:spacing w:before="0" w:after="0"/>
            </w:pPr>
            <w:r w:rsidRPr="00EB075A">
              <w:t>1</w:t>
            </w:r>
          </w:p>
        </w:tc>
        <w:tc>
          <w:tcPr>
            <w:tcW w:w="2519" w:type="dxa"/>
            <w:tcBorders>
              <w:top w:val="single" w:sz="6" w:space="0" w:color="000000"/>
              <w:left w:val="single" w:sz="6" w:space="0" w:color="000000"/>
              <w:bottom w:val="single" w:sz="4" w:space="0" w:color="auto"/>
              <w:right w:val="single" w:sz="6" w:space="0" w:color="000000"/>
            </w:tcBorders>
          </w:tcPr>
          <w:p w:rsidR="00C53E9C" w:rsidRPr="00EB075A" w:rsidRDefault="00C53E9C" w:rsidP="00D65EFE">
            <w:pPr>
              <w:pStyle w:val="naisc"/>
              <w:spacing w:before="0" w:after="0"/>
              <w:ind w:firstLine="720"/>
            </w:pPr>
            <w:r w:rsidRPr="00EB075A">
              <w:t>2</w:t>
            </w:r>
          </w:p>
        </w:tc>
        <w:tc>
          <w:tcPr>
            <w:tcW w:w="3402" w:type="dxa"/>
            <w:tcBorders>
              <w:top w:val="single" w:sz="6" w:space="0" w:color="000000"/>
              <w:left w:val="single" w:sz="6" w:space="0" w:color="000000"/>
              <w:bottom w:val="single" w:sz="4" w:space="0" w:color="auto"/>
              <w:right w:val="single" w:sz="6" w:space="0" w:color="000000"/>
            </w:tcBorders>
          </w:tcPr>
          <w:p w:rsidR="00C53E9C" w:rsidRPr="00EB075A" w:rsidRDefault="00C53E9C" w:rsidP="00D65EFE">
            <w:pPr>
              <w:pStyle w:val="naisc"/>
              <w:spacing w:before="0" w:after="0"/>
              <w:ind w:firstLine="720"/>
            </w:pPr>
            <w:r w:rsidRPr="00EB075A">
              <w:t>3</w:t>
            </w:r>
          </w:p>
        </w:tc>
        <w:tc>
          <w:tcPr>
            <w:tcW w:w="4063" w:type="dxa"/>
            <w:tcBorders>
              <w:top w:val="single" w:sz="6" w:space="0" w:color="000000"/>
              <w:left w:val="single" w:sz="6" w:space="0" w:color="000000"/>
              <w:bottom w:val="single" w:sz="6" w:space="0" w:color="000000"/>
              <w:right w:val="single" w:sz="6" w:space="0" w:color="000000"/>
            </w:tcBorders>
          </w:tcPr>
          <w:p w:rsidR="00C53E9C" w:rsidRPr="00EB075A" w:rsidRDefault="00C53E9C" w:rsidP="00D65EFE">
            <w:pPr>
              <w:pStyle w:val="naisc"/>
              <w:spacing w:before="0" w:after="0"/>
              <w:ind w:firstLine="720"/>
            </w:pPr>
            <w:r w:rsidRPr="00EB075A">
              <w:t>4</w:t>
            </w:r>
          </w:p>
        </w:tc>
        <w:tc>
          <w:tcPr>
            <w:tcW w:w="1560"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jc w:val="center"/>
            </w:pPr>
            <w:r w:rsidRPr="00EB075A">
              <w:t>5</w:t>
            </w:r>
          </w:p>
        </w:tc>
        <w:tc>
          <w:tcPr>
            <w:tcW w:w="2400" w:type="dxa"/>
            <w:tcBorders>
              <w:top w:val="single" w:sz="4" w:space="0" w:color="auto"/>
              <w:left w:val="single" w:sz="4" w:space="0" w:color="auto"/>
              <w:bottom w:val="single" w:sz="4" w:space="0" w:color="auto"/>
            </w:tcBorders>
          </w:tcPr>
          <w:p w:rsidR="00C53E9C" w:rsidRPr="00EB075A" w:rsidRDefault="00C53E9C" w:rsidP="00D65EFE">
            <w:pPr>
              <w:jc w:val="center"/>
            </w:pPr>
            <w:r w:rsidRPr="00EB075A">
              <w:t>6</w:t>
            </w:r>
          </w:p>
        </w:tc>
      </w:tr>
      <w:tr w:rsidR="00C53E9C" w:rsidRPr="00EB075A" w:rsidTr="00D65EFE">
        <w:tc>
          <w:tcPr>
            <w:tcW w:w="708"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ind w:left="480"/>
              <w:jc w:val="center"/>
            </w:pPr>
          </w:p>
        </w:tc>
        <w:tc>
          <w:tcPr>
            <w:tcW w:w="2519"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tabs>
                <w:tab w:val="left" w:pos="426"/>
              </w:tabs>
              <w:spacing w:before="120"/>
              <w:ind w:right="26"/>
              <w:jc w:val="both"/>
            </w:pPr>
          </w:p>
        </w:tc>
        <w:tc>
          <w:tcPr>
            <w:tcW w:w="3402"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pStyle w:val="naisf14pt"/>
              <w:ind w:firstLine="0"/>
              <w:rPr>
                <w:sz w:val="24"/>
              </w:rPr>
            </w:pPr>
          </w:p>
        </w:tc>
        <w:tc>
          <w:tcPr>
            <w:tcW w:w="4063" w:type="dxa"/>
            <w:tcBorders>
              <w:top w:val="single" w:sz="4" w:space="0" w:color="auto"/>
              <w:left w:val="single" w:sz="4" w:space="0" w:color="auto"/>
              <w:bottom w:val="single" w:sz="4" w:space="0" w:color="auto"/>
              <w:right w:val="single" w:sz="6" w:space="0" w:color="000000"/>
            </w:tcBorders>
            <w:vAlign w:val="center"/>
          </w:tcPr>
          <w:p w:rsidR="00C53E9C" w:rsidRPr="00EB075A" w:rsidRDefault="00C53E9C" w:rsidP="00D65EFE">
            <w:pPr>
              <w:pStyle w:val="NormalWeb"/>
              <w:jc w:val="both"/>
            </w:pPr>
          </w:p>
        </w:tc>
        <w:tc>
          <w:tcPr>
            <w:tcW w:w="1560"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pStyle w:val="naisf"/>
              <w:widowControl w:val="0"/>
              <w:tabs>
                <w:tab w:val="left" w:pos="1260"/>
              </w:tabs>
              <w:adjustRightInd w:val="0"/>
              <w:spacing w:before="120" w:after="0"/>
              <w:ind w:firstLine="0"/>
              <w:jc w:val="center"/>
              <w:textAlignment w:val="baseline"/>
              <w:rPr>
                <w:b/>
              </w:rPr>
            </w:pPr>
          </w:p>
        </w:tc>
        <w:tc>
          <w:tcPr>
            <w:tcW w:w="2400"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tabs>
                <w:tab w:val="left" w:pos="426"/>
              </w:tabs>
              <w:spacing w:before="120"/>
              <w:ind w:right="26"/>
              <w:jc w:val="center"/>
              <w:rPr>
                <w:b/>
              </w:rPr>
            </w:pPr>
          </w:p>
        </w:tc>
      </w:tr>
    </w:tbl>
    <w:p w:rsidR="00C53E9C" w:rsidRPr="00EB075A" w:rsidRDefault="00C53E9C" w:rsidP="00C53E9C">
      <w:pPr>
        <w:pStyle w:val="naisf"/>
        <w:spacing w:before="0" w:after="0"/>
        <w:ind w:firstLine="0"/>
      </w:pPr>
    </w:p>
    <w:p w:rsidR="00C53E9C" w:rsidRPr="00EB075A" w:rsidRDefault="00C53E9C" w:rsidP="00C53E9C">
      <w:pPr>
        <w:pStyle w:val="naisf"/>
        <w:spacing w:before="0" w:after="0"/>
        <w:ind w:firstLine="0"/>
      </w:pPr>
    </w:p>
    <w:p w:rsidR="00C53E9C" w:rsidRPr="00EB075A" w:rsidRDefault="00C53E9C" w:rsidP="00C53E9C">
      <w:pPr>
        <w:pStyle w:val="naisf"/>
        <w:spacing w:before="0" w:after="0"/>
        <w:ind w:firstLine="0"/>
        <w:rPr>
          <w:b/>
        </w:rPr>
      </w:pPr>
      <w:r w:rsidRPr="00EB075A">
        <w:rPr>
          <w:b/>
        </w:rPr>
        <w:t xml:space="preserve">                                   Informācija par starpministriju (starpinstitūciju) sanāksmi vai elektronisko saskaņošanu</w:t>
      </w:r>
    </w:p>
    <w:p w:rsidR="00C53E9C" w:rsidRPr="00EB075A" w:rsidRDefault="00C53E9C" w:rsidP="00C53E9C">
      <w:pPr>
        <w:pStyle w:val="naisf"/>
        <w:spacing w:before="0" w:after="0"/>
        <w:ind w:firstLine="0"/>
        <w:rPr>
          <w:b/>
        </w:rPr>
      </w:pPr>
    </w:p>
    <w:tbl>
      <w:tblPr>
        <w:tblW w:w="12374" w:type="dxa"/>
        <w:tblLook w:val="00A0" w:firstRow="1" w:lastRow="0" w:firstColumn="1" w:lastColumn="0" w:noHBand="0" w:noVBand="0"/>
      </w:tblPr>
      <w:tblGrid>
        <w:gridCol w:w="6240"/>
        <w:gridCol w:w="6134"/>
      </w:tblGrid>
      <w:tr w:rsidR="00C53E9C" w:rsidRPr="00EB075A" w:rsidTr="00D65EFE">
        <w:trPr>
          <w:trHeight w:val="243"/>
        </w:trPr>
        <w:tc>
          <w:tcPr>
            <w:tcW w:w="6240" w:type="dxa"/>
          </w:tcPr>
          <w:p w:rsidR="00C53E9C" w:rsidRPr="00EB075A" w:rsidRDefault="00C53E9C" w:rsidP="00D65EFE">
            <w:pPr>
              <w:pStyle w:val="naisf"/>
              <w:spacing w:before="0" w:after="0"/>
              <w:ind w:firstLine="0"/>
            </w:pPr>
            <w:r w:rsidRPr="00EB075A">
              <w:t>Datums</w:t>
            </w:r>
          </w:p>
        </w:tc>
        <w:tc>
          <w:tcPr>
            <w:tcW w:w="6134" w:type="dxa"/>
            <w:tcBorders>
              <w:bottom w:val="single" w:sz="4" w:space="0" w:color="auto"/>
            </w:tcBorders>
          </w:tcPr>
          <w:p w:rsidR="00C53E9C" w:rsidRPr="00EB075A" w:rsidRDefault="00C53E9C" w:rsidP="00D65EFE">
            <w:pPr>
              <w:pStyle w:val="NormalWeb"/>
              <w:spacing w:before="0" w:beforeAutospacing="0" w:after="0" w:afterAutospacing="0"/>
            </w:pPr>
            <w:r>
              <w:t>22</w:t>
            </w:r>
            <w:r w:rsidRPr="00EB075A">
              <w:t>.</w:t>
            </w:r>
            <w:r>
              <w:t>-29.10</w:t>
            </w:r>
            <w:r w:rsidRPr="00EB075A">
              <w:t>.2021.</w:t>
            </w:r>
          </w:p>
        </w:tc>
      </w:tr>
      <w:tr w:rsidR="00C53E9C" w:rsidRPr="00EB075A" w:rsidTr="00D65EFE">
        <w:trPr>
          <w:trHeight w:val="233"/>
        </w:trPr>
        <w:tc>
          <w:tcPr>
            <w:tcW w:w="6240" w:type="dxa"/>
          </w:tcPr>
          <w:p w:rsidR="00C53E9C" w:rsidRPr="00EB075A" w:rsidRDefault="00C53E9C" w:rsidP="00D65EFE">
            <w:pPr>
              <w:pStyle w:val="naisf"/>
              <w:spacing w:before="0" w:after="0"/>
              <w:ind w:firstLine="0"/>
            </w:pPr>
          </w:p>
        </w:tc>
        <w:tc>
          <w:tcPr>
            <w:tcW w:w="6134" w:type="dxa"/>
            <w:tcBorders>
              <w:top w:val="single" w:sz="4" w:space="0" w:color="auto"/>
            </w:tcBorders>
          </w:tcPr>
          <w:p w:rsidR="00C53E9C" w:rsidRPr="00EB075A" w:rsidRDefault="00C53E9C" w:rsidP="00D65EFE">
            <w:pPr>
              <w:autoSpaceDE w:val="0"/>
              <w:autoSpaceDN w:val="0"/>
              <w:adjustRightInd w:val="0"/>
              <w:rPr>
                <w:color w:val="000000"/>
              </w:rPr>
            </w:pPr>
          </w:p>
        </w:tc>
      </w:tr>
      <w:tr w:rsidR="00C53E9C" w:rsidRPr="00EB075A" w:rsidTr="00D65EFE">
        <w:trPr>
          <w:trHeight w:val="243"/>
        </w:trPr>
        <w:tc>
          <w:tcPr>
            <w:tcW w:w="6240" w:type="dxa"/>
          </w:tcPr>
          <w:p w:rsidR="00C53E9C" w:rsidRPr="00EB075A" w:rsidRDefault="00C53E9C" w:rsidP="00D65EFE">
            <w:pPr>
              <w:pStyle w:val="naiskr"/>
              <w:spacing w:before="0" w:after="0"/>
            </w:pPr>
            <w:r w:rsidRPr="00EB075A">
              <w:t>Saskaņošanas dalībnieki</w:t>
            </w:r>
          </w:p>
        </w:tc>
        <w:tc>
          <w:tcPr>
            <w:tcW w:w="6134" w:type="dxa"/>
          </w:tcPr>
          <w:p w:rsidR="00C53E9C" w:rsidRPr="00EB075A" w:rsidRDefault="00C53E9C" w:rsidP="00D65EFE">
            <w:pPr>
              <w:pStyle w:val="NormalWeb"/>
              <w:spacing w:before="0" w:beforeAutospacing="0" w:after="0" w:afterAutospacing="0"/>
            </w:pPr>
          </w:p>
        </w:tc>
      </w:tr>
      <w:tr w:rsidR="00C53E9C" w:rsidRPr="00EB075A" w:rsidTr="00D65EFE">
        <w:trPr>
          <w:trHeight w:val="721"/>
        </w:trPr>
        <w:tc>
          <w:tcPr>
            <w:tcW w:w="6240" w:type="dxa"/>
          </w:tcPr>
          <w:p w:rsidR="00C53E9C" w:rsidRPr="00EB075A" w:rsidRDefault="00C53E9C" w:rsidP="00D65EFE">
            <w:pPr>
              <w:pStyle w:val="naiskr"/>
              <w:spacing w:before="0" w:after="0"/>
              <w:ind w:firstLine="720"/>
            </w:pPr>
          </w:p>
        </w:tc>
        <w:tc>
          <w:tcPr>
            <w:tcW w:w="6134" w:type="dxa"/>
            <w:tcBorders>
              <w:top w:val="single" w:sz="6" w:space="0" w:color="000000"/>
              <w:bottom w:val="single" w:sz="6" w:space="0" w:color="000000"/>
            </w:tcBorders>
          </w:tcPr>
          <w:p w:rsidR="00C53E9C" w:rsidRPr="00EB075A" w:rsidRDefault="00C53E9C" w:rsidP="00D65EFE">
            <w:pPr>
              <w:pStyle w:val="Standard"/>
            </w:pPr>
            <w:r w:rsidRPr="00EB075A">
              <w:t xml:space="preserve">Finanšu ministrija, Tieslietu ministrija, Labklājības ministrija, Veselības ministrija </w:t>
            </w:r>
          </w:p>
        </w:tc>
      </w:tr>
    </w:tbl>
    <w:p w:rsidR="00C53E9C" w:rsidRPr="00EB075A" w:rsidRDefault="00C53E9C" w:rsidP="00C53E9C">
      <w:pPr>
        <w:rPr>
          <w:vanish/>
        </w:rPr>
      </w:pPr>
    </w:p>
    <w:tbl>
      <w:tblPr>
        <w:tblpPr w:leftFromText="180" w:rightFromText="180" w:vertAnchor="text" w:horzAnchor="margin" w:tblpY="183"/>
        <w:tblW w:w="12678" w:type="dxa"/>
        <w:tblLook w:val="00A0" w:firstRow="1" w:lastRow="0" w:firstColumn="1" w:lastColumn="0" w:noHBand="0" w:noVBand="0"/>
      </w:tblPr>
      <w:tblGrid>
        <w:gridCol w:w="6487"/>
        <w:gridCol w:w="4961"/>
        <w:gridCol w:w="1230"/>
      </w:tblGrid>
      <w:tr w:rsidR="00C53E9C" w:rsidRPr="00EB075A" w:rsidTr="00D65EFE">
        <w:trPr>
          <w:trHeight w:val="350"/>
        </w:trPr>
        <w:tc>
          <w:tcPr>
            <w:tcW w:w="6487" w:type="dxa"/>
          </w:tcPr>
          <w:p w:rsidR="00C53E9C" w:rsidRPr="00EB075A" w:rsidRDefault="00C53E9C" w:rsidP="00D65EFE">
            <w:pPr>
              <w:pStyle w:val="naiskr"/>
              <w:spacing w:before="0" w:after="0"/>
            </w:pPr>
            <w:r w:rsidRPr="00EB075A">
              <w:t>Saskaņošanas dalībnieki izskatīja šādu ministriju (citu institūciju) iebildumus</w:t>
            </w:r>
          </w:p>
        </w:tc>
        <w:tc>
          <w:tcPr>
            <w:tcW w:w="4961" w:type="dxa"/>
          </w:tcPr>
          <w:p w:rsidR="00C53E9C" w:rsidRPr="00EB075A" w:rsidRDefault="00C53E9C" w:rsidP="00D65EFE">
            <w:pPr>
              <w:pStyle w:val="naiskr"/>
              <w:spacing w:before="0" w:after="0"/>
            </w:pPr>
          </w:p>
          <w:p w:rsidR="00C53E9C" w:rsidRPr="00EB075A" w:rsidRDefault="00C53E9C" w:rsidP="00D65EFE">
            <w:pPr>
              <w:pStyle w:val="naiskr"/>
              <w:spacing w:before="0" w:after="0"/>
            </w:pPr>
            <w:r w:rsidRPr="00EB075A">
              <w:t>Finanšu mini</w:t>
            </w:r>
            <w:r>
              <w:t>strijas</w:t>
            </w:r>
          </w:p>
        </w:tc>
        <w:tc>
          <w:tcPr>
            <w:tcW w:w="1230" w:type="dxa"/>
          </w:tcPr>
          <w:p w:rsidR="00C53E9C" w:rsidRPr="00EB075A" w:rsidRDefault="00C53E9C" w:rsidP="00D65EFE">
            <w:pPr>
              <w:pStyle w:val="naiskr"/>
              <w:spacing w:before="0" w:after="0"/>
              <w:ind w:firstLine="12"/>
            </w:pPr>
          </w:p>
        </w:tc>
      </w:tr>
      <w:tr w:rsidR="00C53E9C" w:rsidRPr="00EB075A" w:rsidTr="00D65EFE">
        <w:trPr>
          <w:trHeight w:val="228"/>
        </w:trPr>
        <w:tc>
          <w:tcPr>
            <w:tcW w:w="6487" w:type="dxa"/>
          </w:tcPr>
          <w:p w:rsidR="00C53E9C" w:rsidRPr="00EB075A" w:rsidRDefault="00C53E9C" w:rsidP="00D65EFE">
            <w:pPr>
              <w:pStyle w:val="naiskr"/>
              <w:spacing w:before="0" w:after="0"/>
              <w:ind w:firstLine="720"/>
            </w:pPr>
          </w:p>
        </w:tc>
        <w:tc>
          <w:tcPr>
            <w:tcW w:w="6191" w:type="dxa"/>
            <w:gridSpan w:val="2"/>
            <w:tcBorders>
              <w:top w:val="single" w:sz="6" w:space="0" w:color="000000"/>
              <w:bottom w:val="single" w:sz="6" w:space="0" w:color="000000"/>
            </w:tcBorders>
          </w:tcPr>
          <w:p w:rsidR="00C53E9C" w:rsidRPr="00EB075A" w:rsidRDefault="00C53E9C" w:rsidP="00D65EFE">
            <w:pPr>
              <w:pStyle w:val="NormalWeb"/>
              <w:spacing w:before="0" w:beforeAutospacing="0" w:after="0" w:afterAutospacing="0"/>
            </w:pPr>
          </w:p>
        </w:tc>
      </w:tr>
    </w:tbl>
    <w:p w:rsidR="00C53E9C" w:rsidRPr="00EB075A" w:rsidRDefault="00C53E9C" w:rsidP="00C53E9C">
      <w:pPr>
        <w:pStyle w:val="naisf"/>
        <w:spacing w:before="0" w:after="0"/>
        <w:ind w:firstLine="0"/>
        <w:jc w:val="center"/>
        <w:rPr>
          <w:b/>
        </w:rPr>
      </w:pPr>
    </w:p>
    <w:p w:rsidR="00C53E9C" w:rsidRPr="00EB075A" w:rsidRDefault="00C53E9C" w:rsidP="00C53E9C">
      <w:pPr>
        <w:pStyle w:val="naisf"/>
        <w:spacing w:before="0" w:after="0"/>
        <w:ind w:firstLine="0"/>
        <w:jc w:val="center"/>
        <w:rPr>
          <w:b/>
        </w:rPr>
      </w:pPr>
    </w:p>
    <w:p w:rsidR="00C53E9C" w:rsidRPr="00EB075A" w:rsidRDefault="00C53E9C" w:rsidP="00C53E9C">
      <w:pPr>
        <w:pStyle w:val="naisf"/>
        <w:spacing w:before="0" w:after="0"/>
        <w:ind w:firstLine="0"/>
        <w:rPr>
          <w:b/>
        </w:rPr>
      </w:pPr>
    </w:p>
    <w:p w:rsidR="00C53E9C" w:rsidRPr="00EB075A" w:rsidRDefault="00C53E9C" w:rsidP="00C53E9C">
      <w:pPr>
        <w:pStyle w:val="naisf"/>
        <w:spacing w:before="0" w:after="0"/>
        <w:ind w:firstLine="0"/>
        <w:jc w:val="center"/>
        <w:rPr>
          <w:b/>
        </w:rPr>
      </w:pPr>
    </w:p>
    <w:p w:rsidR="00C53E9C" w:rsidRPr="00EB075A" w:rsidRDefault="00C53E9C" w:rsidP="00C53E9C">
      <w:pPr>
        <w:pStyle w:val="naisf"/>
        <w:tabs>
          <w:tab w:val="left" w:pos="1140"/>
        </w:tabs>
        <w:spacing w:before="0" w:after="0"/>
        <w:ind w:firstLine="0"/>
        <w:jc w:val="left"/>
        <w:rPr>
          <w:b/>
        </w:rPr>
      </w:pPr>
      <w:r w:rsidRPr="00EB075A">
        <w:rPr>
          <w:b/>
        </w:rPr>
        <w:tab/>
      </w:r>
    </w:p>
    <w:p w:rsidR="00C53E9C" w:rsidRPr="00EB075A" w:rsidRDefault="00C53E9C" w:rsidP="00C53E9C">
      <w:pPr>
        <w:pStyle w:val="naisf"/>
        <w:spacing w:before="0" w:after="0"/>
        <w:ind w:firstLine="0"/>
        <w:jc w:val="center"/>
        <w:rPr>
          <w:b/>
        </w:rPr>
      </w:pPr>
    </w:p>
    <w:p w:rsidR="00C53E9C" w:rsidRPr="00EB075A" w:rsidRDefault="00C53E9C" w:rsidP="00C53E9C">
      <w:pPr>
        <w:pStyle w:val="naisf"/>
        <w:spacing w:before="0" w:after="0"/>
        <w:ind w:firstLine="0"/>
        <w:jc w:val="center"/>
        <w:rPr>
          <w:b/>
        </w:rPr>
      </w:pPr>
      <w:r w:rsidRPr="00EB075A">
        <w:rPr>
          <w:b/>
        </w:rPr>
        <w:t>II. Jautājumi, par kuriem saskaņošanā vienošanās ir panākta</w:t>
      </w:r>
    </w:p>
    <w:p w:rsidR="00C53E9C" w:rsidRPr="00EB075A" w:rsidRDefault="00C53E9C" w:rsidP="00C53E9C">
      <w:pPr>
        <w:pStyle w:val="naisf"/>
        <w:spacing w:before="0" w:after="0"/>
        <w:ind w:firstLine="720"/>
      </w:pPr>
    </w:p>
    <w:tbl>
      <w:tblPr>
        <w:tblW w:w="1462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977"/>
        <w:gridCol w:w="4394"/>
        <w:gridCol w:w="3261"/>
        <w:gridCol w:w="3317"/>
      </w:tblGrid>
      <w:tr w:rsidR="00C53E9C" w:rsidRPr="00EB075A" w:rsidTr="00D65EFE">
        <w:tc>
          <w:tcPr>
            <w:tcW w:w="675"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pStyle w:val="naisc"/>
              <w:spacing w:before="0" w:after="0"/>
            </w:pPr>
            <w:r w:rsidRPr="00EB075A">
              <w:t>Nr. p.k.</w:t>
            </w:r>
          </w:p>
        </w:tc>
        <w:tc>
          <w:tcPr>
            <w:tcW w:w="2977"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pStyle w:val="naisc"/>
              <w:spacing w:before="0" w:after="0"/>
              <w:ind w:firstLine="12"/>
            </w:pPr>
            <w:r w:rsidRPr="00EB075A">
              <w:t>Saskaņošanai nosūtītā projekta redakcija (konkrēta punkta (panta) redakcija)</w:t>
            </w:r>
          </w:p>
        </w:tc>
        <w:tc>
          <w:tcPr>
            <w:tcW w:w="4394"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pStyle w:val="naisc"/>
              <w:spacing w:before="0" w:after="0"/>
              <w:ind w:right="3"/>
            </w:pPr>
            <w:r w:rsidRPr="00EB075A">
              <w:t>Atzinumā norādītais ministrijas (citas institūcijas) iebildums, kā arī saskaņošanā papildus izteiktais iebildums par projekta konkrēto punktu (pantu)</w:t>
            </w:r>
          </w:p>
        </w:tc>
        <w:tc>
          <w:tcPr>
            <w:tcW w:w="3261" w:type="dxa"/>
            <w:tcBorders>
              <w:top w:val="single" w:sz="4" w:space="0" w:color="auto"/>
              <w:left w:val="single" w:sz="4" w:space="0" w:color="auto"/>
              <w:bottom w:val="single" w:sz="4" w:space="0" w:color="auto"/>
              <w:right w:val="single" w:sz="4" w:space="0" w:color="auto"/>
            </w:tcBorders>
            <w:vAlign w:val="center"/>
          </w:tcPr>
          <w:p w:rsidR="00C53E9C" w:rsidRPr="00EB075A" w:rsidRDefault="00C53E9C" w:rsidP="00D65EFE">
            <w:pPr>
              <w:pStyle w:val="naisc"/>
              <w:spacing w:before="0" w:after="0"/>
              <w:ind w:firstLine="21"/>
            </w:pPr>
            <w:r w:rsidRPr="00EB075A">
              <w:t>Atbildīgās ministrijas norāde par to, ka iebildums ir ņemts vērā, vai informācija par saskaņošanā panākto alternatīvo risinājumu</w:t>
            </w:r>
          </w:p>
        </w:tc>
        <w:tc>
          <w:tcPr>
            <w:tcW w:w="3317" w:type="dxa"/>
            <w:tcBorders>
              <w:top w:val="single" w:sz="4" w:space="0" w:color="auto"/>
              <w:left w:val="single" w:sz="4" w:space="0" w:color="auto"/>
              <w:bottom w:val="single" w:sz="4" w:space="0" w:color="auto"/>
            </w:tcBorders>
            <w:vAlign w:val="center"/>
          </w:tcPr>
          <w:p w:rsidR="00C53E9C" w:rsidRPr="00EB075A" w:rsidRDefault="00C53E9C" w:rsidP="00D65EFE">
            <w:pPr>
              <w:jc w:val="center"/>
            </w:pPr>
            <w:r w:rsidRPr="00EB075A">
              <w:t>Projekta attiecīgā punkta (panta) galīgā redakcija</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pPr>
            <w:r w:rsidRPr="00EB075A">
              <w:t>1</w:t>
            </w:r>
          </w:p>
        </w:tc>
        <w:tc>
          <w:tcPr>
            <w:tcW w:w="2977"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ind w:firstLine="720"/>
            </w:pPr>
            <w:r w:rsidRPr="00EB075A">
              <w:t>2</w:t>
            </w:r>
          </w:p>
        </w:tc>
        <w:tc>
          <w:tcPr>
            <w:tcW w:w="4394"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ind w:firstLine="720"/>
            </w:pPr>
            <w:r w:rsidRPr="00EB075A">
              <w:t>3</w:t>
            </w:r>
          </w:p>
        </w:tc>
        <w:tc>
          <w:tcPr>
            <w:tcW w:w="3261"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ind w:firstLine="720"/>
            </w:pPr>
            <w:r w:rsidRPr="00EB075A">
              <w:t>4</w:t>
            </w:r>
          </w:p>
        </w:tc>
        <w:tc>
          <w:tcPr>
            <w:tcW w:w="3317" w:type="dxa"/>
            <w:tcBorders>
              <w:top w:val="single" w:sz="4" w:space="0" w:color="auto"/>
              <w:left w:val="single" w:sz="4" w:space="0" w:color="auto"/>
              <w:bottom w:val="single" w:sz="4" w:space="0" w:color="auto"/>
            </w:tcBorders>
          </w:tcPr>
          <w:p w:rsidR="00C53E9C" w:rsidRPr="00EB075A" w:rsidRDefault="00C53E9C" w:rsidP="00D65EFE">
            <w:pPr>
              <w:jc w:val="center"/>
            </w:pPr>
            <w:r w:rsidRPr="00EB075A">
              <w:t>5</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pPr>
            <w:r>
              <w:t>1.</w:t>
            </w:r>
          </w:p>
        </w:tc>
        <w:tc>
          <w:tcPr>
            <w:tcW w:w="2977"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jc w:val="both"/>
            </w:pPr>
            <w:r w:rsidRPr="002F6FC7">
              <w:t xml:space="preserve">"5. Kopējais programmai pieejamais finansējums, kas 100 procentu apmērā sedz programmas apsaimniekošanas un projektu izmaksas, ir 20 327 059 euro, tai skaitā Eiropas Ekonomikas zonas finanšu instrumenta līdzfinansējums 17 278 000 euro un Latvijas valsts budžeta līdzfinansējums 3 049 </w:t>
            </w:r>
            <w:r>
              <w:t>059</w:t>
            </w:r>
            <w:r w:rsidRPr="002F6FC7">
              <w:t xml:space="preserve"> euro. Kopējais Norvēģijas valdības finanšu instrumenta līdzfinansējums, kas sedz projektu izmaksas, ir 171 000 euro.";</w:t>
            </w:r>
          </w:p>
        </w:tc>
        <w:tc>
          <w:tcPr>
            <w:tcW w:w="4394" w:type="dxa"/>
            <w:tcBorders>
              <w:top w:val="single" w:sz="4" w:space="0" w:color="auto"/>
              <w:left w:val="single" w:sz="4" w:space="0" w:color="auto"/>
              <w:bottom w:val="single" w:sz="4" w:space="0" w:color="auto"/>
              <w:right w:val="single" w:sz="4" w:space="0" w:color="auto"/>
            </w:tcBorders>
          </w:tcPr>
          <w:p w:rsidR="00C53E9C" w:rsidRDefault="00C53E9C" w:rsidP="00D65EFE">
            <w:pPr>
              <w:pStyle w:val="naisc"/>
              <w:spacing w:before="0" w:after="0"/>
              <w:ind w:firstLine="720"/>
              <w:jc w:val="both"/>
              <w:rPr>
                <w:b/>
              </w:rPr>
            </w:pPr>
            <w:r w:rsidRPr="00E940D6">
              <w:rPr>
                <w:b/>
              </w:rPr>
              <w:t>Finanšu ministrija (iebildumi saņemti 08</w:t>
            </w:r>
            <w:r>
              <w:rPr>
                <w:b/>
              </w:rPr>
              <w:t>.</w:t>
            </w:r>
            <w:r w:rsidRPr="00E940D6">
              <w:rPr>
                <w:b/>
              </w:rPr>
              <w:t>10.2021.)</w:t>
            </w:r>
          </w:p>
          <w:p w:rsidR="00C53E9C" w:rsidRPr="00E940D6" w:rsidRDefault="00C53E9C" w:rsidP="00D65EFE">
            <w:pPr>
              <w:pStyle w:val="naisc"/>
              <w:spacing w:before="0" w:after="0"/>
              <w:ind w:firstLine="38"/>
              <w:jc w:val="both"/>
            </w:pPr>
            <w:r>
              <w:t xml:space="preserve">1. </w:t>
            </w:r>
            <w:r w:rsidRPr="00E940D6">
              <w:t xml:space="preserve">Lūdzam noteikuma projekta 5.punktā svītrot teikumu: ”Kopējais Norvēģijas valdības finanšu instrumenta līdzfinansējums, kas sedz projektu izmaksas, ir 171 000 euro.” Lūdzam iekļaut informāciju par Divpusējās sadarbības fonda (turpmāk – DSF) 171 000 euro finansējumu noteikumu projekta 30.punktā, </w:t>
            </w:r>
            <w:proofErr w:type="spellStart"/>
            <w:r w:rsidRPr="00E940D6">
              <w:t>IV.sadaļā</w:t>
            </w:r>
            <w:proofErr w:type="spellEnd"/>
            <w:r w:rsidRPr="00E940D6">
              <w:t xml:space="preserve"> “Divpusējās sadarbības fonds”, lietojot Eiropas Ekonomikas zonas finanšu instrumenta un Norvēģijas finanšu instrumenta 2014.—2021.gada perioda vadības likumā (turpmāk – Vadības likums) noteikto terminoloģiju.</w:t>
            </w:r>
          </w:p>
        </w:tc>
        <w:tc>
          <w:tcPr>
            <w:tcW w:w="3261" w:type="dxa"/>
            <w:tcBorders>
              <w:top w:val="single" w:sz="4" w:space="0" w:color="auto"/>
              <w:left w:val="single" w:sz="4" w:space="0" w:color="auto"/>
              <w:bottom w:val="single" w:sz="4" w:space="0" w:color="auto"/>
              <w:right w:val="single" w:sz="4" w:space="0" w:color="auto"/>
            </w:tcBorders>
          </w:tcPr>
          <w:p w:rsidR="00C53E9C" w:rsidRPr="00585960" w:rsidRDefault="00C53E9C" w:rsidP="00D65EFE">
            <w:pPr>
              <w:pStyle w:val="naisc"/>
              <w:spacing w:before="0" w:after="0"/>
              <w:ind w:firstLine="720"/>
              <w:rPr>
                <w:b/>
              </w:rPr>
            </w:pPr>
            <w:r w:rsidRPr="00585960">
              <w:rPr>
                <w:b/>
              </w:rPr>
              <w:t>Ņemts vērā</w:t>
            </w:r>
          </w:p>
        </w:tc>
        <w:tc>
          <w:tcPr>
            <w:tcW w:w="3317" w:type="dxa"/>
            <w:tcBorders>
              <w:top w:val="single" w:sz="4" w:space="0" w:color="auto"/>
              <w:left w:val="single" w:sz="4" w:space="0" w:color="auto"/>
              <w:bottom w:val="single" w:sz="4" w:space="0" w:color="auto"/>
            </w:tcBorders>
          </w:tcPr>
          <w:p w:rsidR="00C53E9C" w:rsidRDefault="00C53E9C" w:rsidP="00D65EFE">
            <w:pPr>
              <w:jc w:val="both"/>
            </w:pPr>
            <w:r w:rsidRPr="002F6FC7">
              <w:t xml:space="preserve">"5. Kopējais programmai pieejamais finansējums, kas 100 procentu apmērā sedz programmas apsaimniekošanas un projektu izmaksas, ir 20 </w:t>
            </w:r>
            <w:r>
              <w:t>327</w:t>
            </w:r>
            <w:r w:rsidRPr="002F6FC7">
              <w:t xml:space="preserve"> 059 euro, tai skaitā Eiropas Ekonomikas zonas finanšu instrumenta līdzfinansējums 17 278 000 euro un Latvijas valsts budžeta</w:t>
            </w:r>
            <w:r>
              <w:t xml:space="preserve"> līdzfinansējums 3 049 059 euro</w:t>
            </w:r>
            <w:r w:rsidRPr="002F6FC7">
              <w:t>.";</w:t>
            </w:r>
          </w:p>
          <w:p w:rsidR="00C53E9C" w:rsidRDefault="00C53E9C" w:rsidP="00D65EFE">
            <w:pPr>
              <w:jc w:val="both"/>
            </w:pPr>
          </w:p>
          <w:p w:rsidR="00C53E9C" w:rsidRPr="00EB075A" w:rsidRDefault="00C53E9C" w:rsidP="00D65EFE">
            <w:pPr>
              <w:jc w:val="both"/>
            </w:pPr>
            <w:r w:rsidRPr="00585960">
              <w:t xml:space="preserve">"30. Saskaņā ar Saprašanās memorandu starp Islandi, Lihtenšteinas Firstisti, Norvēģijas Karalisti un Latvijas Republiku divpusējās sadarbības aktivitāšu īstenošanai programmā ir piešķirti 100 000 euro  un saskaņā ar Saprašanās memorandu starp Norvēģijas Karalisti un Latvijas Republiku divpusējās sadarbības fonda iniciatīvas īstenošanai saistībā ar </w:t>
            </w:r>
            <w:r w:rsidRPr="00585960">
              <w:lastRenderedPageBreak/>
              <w:t>programmas iepriekš noteikto projektu “Tiesu ekspertīžu sistēmas un notikumu vietas apskates kapacitātes stiprināšana” ir piešķirti 171 000 (turpmāk – divpusējās sadarbības fonda finansējums).”;</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pPr>
            <w:r>
              <w:lastRenderedPageBreak/>
              <w:t>2.</w:t>
            </w:r>
          </w:p>
        </w:tc>
        <w:tc>
          <w:tcPr>
            <w:tcW w:w="2977"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ind w:firstLine="37"/>
              <w:jc w:val="both"/>
            </w:pPr>
            <w:r w:rsidRPr="00E940D6">
              <w:t xml:space="preserve">Plānots, ka attiecīgie programmas līguma grozījumi stāsies spēkā līdz ar grozījumu Līgumā par Eiropas Ekonomikas zonas finanšu instrumenta 2014.–2021. gada perioda programmas īstenošanu (turpmāk – programmas līgums) stāšanos spēkā, nosakot, ka programmas apsaimniekotājs, pēc grozījumu programmas līgumā saņemšanas no vadošās iestādes sagatavo paziņojumu, kuru publicē oficiālajā izdevumā “Latvijas Vēstnesis” atbilstoši noteikuma </w:t>
            </w:r>
            <w:r>
              <w:t>projektā 38.punktā norādītajam.</w:t>
            </w:r>
          </w:p>
        </w:tc>
        <w:tc>
          <w:tcPr>
            <w:tcW w:w="4394"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jc w:val="both"/>
            </w:pPr>
            <w:r w:rsidRPr="00E940D6">
              <w:t>2.</w:t>
            </w:r>
            <w:r w:rsidRPr="00E940D6">
              <w:tab/>
              <w:t xml:space="preserve">Lūdzam precizēt anotācijas </w:t>
            </w:r>
            <w:proofErr w:type="spellStart"/>
            <w:r w:rsidRPr="00E940D6">
              <w:t>I.sadaļas</w:t>
            </w:r>
            <w:proofErr w:type="spellEnd"/>
            <w:r w:rsidRPr="00E940D6">
              <w:t xml:space="preserve"> “Tiesību akta projekta izstrādes nepieciešamība” 2.punkta pirmspēdējās rindkopas teikumu: “Plānots, ka attiecīgie programmas līguma grozījumi stāsies spēkā līdz ar grozījumu Līgumā par Eiropas Ekonomikas zonas finanšu instrumenta 2014.–2021. gada perioda programmas īstenošanu (turpmāk – programmas līgums) stāšanos spēkā, nosakot, ka programmas apsaimniekotājs, pēc grozījumu programmas līgumā saņemšanas no vadošās iestādes sagatavo paziņojumu, kuru publicē oficiālajā izdevumā “Latvijas Vēstnesis” atbilstoši noteikuma projektā 38.punktā norādītajam.” Vēršam uzmanību, ka noteikuma projekta 38.punktā norādītais stāsies spēkā pēc līguma grozījumu parakstīšanas, attiecīgi lūdzam precizēt procesu secību.</w:t>
            </w:r>
          </w:p>
        </w:tc>
        <w:tc>
          <w:tcPr>
            <w:tcW w:w="3261" w:type="dxa"/>
            <w:tcBorders>
              <w:top w:val="single" w:sz="4" w:space="0" w:color="auto"/>
              <w:left w:val="single" w:sz="4" w:space="0" w:color="auto"/>
              <w:bottom w:val="single" w:sz="4" w:space="0" w:color="auto"/>
              <w:right w:val="single" w:sz="4" w:space="0" w:color="auto"/>
            </w:tcBorders>
          </w:tcPr>
          <w:p w:rsidR="00C53E9C" w:rsidRPr="00787704" w:rsidRDefault="00C53E9C" w:rsidP="00D65EFE">
            <w:pPr>
              <w:pStyle w:val="naisc"/>
              <w:spacing w:before="0" w:after="0"/>
              <w:ind w:firstLine="720"/>
              <w:rPr>
                <w:b/>
              </w:rPr>
            </w:pPr>
            <w:r w:rsidRPr="00787704">
              <w:rPr>
                <w:b/>
              </w:rPr>
              <w:t>Ņemts vērā</w:t>
            </w:r>
          </w:p>
        </w:tc>
        <w:tc>
          <w:tcPr>
            <w:tcW w:w="3317" w:type="dxa"/>
            <w:tcBorders>
              <w:top w:val="single" w:sz="4" w:space="0" w:color="auto"/>
              <w:left w:val="single" w:sz="4" w:space="0" w:color="auto"/>
              <w:bottom w:val="single" w:sz="4" w:space="0" w:color="auto"/>
            </w:tcBorders>
          </w:tcPr>
          <w:p w:rsidR="00C53E9C" w:rsidRPr="00B435C8" w:rsidRDefault="00C53E9C" w:rsidP="00D65EFE">
            <w:pPr>
              <w:jc w:val="both"/>
              <w:rPr>
                <w:rFonts w:eastAsia="Calibri"/>
                <w:iCs/>
              </w:rPr>
            </w:pPr>
            <w:r w:rsidRPr="005C455C">
              <w:rPr>
                <w:rFonts w:eastAsia="Calibri"/>
                <w:iCs/>
              </w:rPr>
              <w:t xml:space="preserve">Plānots, ka attiecīgie </w:t>
            </w:r>
            <w:r>
              <w:rPr>
                <w:rFonts w:eastAsia="Calibri"/>
                <w:iCs/>
              </w:rPr>
              <w:t>noteikumu Nr.91</w:t>
            </w:r>
            <w:r w:rsidRPr="005C455C">
              <w:rPr>
                <w:rFonts w:eastAsia="Calibri"/>
                <w:iCs/>
              </w:rPr>
              <w:t xml:space="preserve"> grozījumi stāsies spēkā līdz ar grozījumu</w:t>
            </w:r>
            <w:r>
              <w:rPr>
                <w:rFonts w:eastAsia="Calibri"/>
                <w:iCs/>
              </w:rPr>
              <w:t xml:space="preserve"> programmas līgumā</w:t>
            </w:r>
            <w:r w:rsidRPr="005C455C">
              <w:rPr>
                <w:rFonts w:eastAsia="Calibri"/>
                <w:iCs/>
              </w:rPr>
              <w:t xml:space="preserve"> </w:t>
            </w:r>
            <w:r>
              <w:rPr>
                <w:rFonts w:eastAsia="Calibri"/>
                <w:iCs/>
              </w:rPr>
              <w:t>parakstīšanu</w:t>
            </w:r>
            <w:r w:rsidRPr="005C455C">
              <w:rPr>
                <w:rFonts w:eastAsia="Calibri"/>
                <w:iCs/>
              </w:rPr>
              <w:t>, nosakot, ka programmas apsaimniekotājs, pēc grozījumu programmas līgumā saņemšanas no vadošās iestādes sagatavo paziņojumu, kuru publicē oficiālajā izdevumā “Latvijas Vēstnesis</w:t>
            </w:r>
            <w:r>
              <w:rPr>
                <w:rFonts w:eastAsia="Calibri"/>
                <w:iCs/>
              </w:rPr>
              <w:t>”.</w:t>
            </w:r>
          </w:p>
          <w:p w:rsidR="00C53E9C" w:rsidRPr="00EB075A" w:rsidRDefault="00C53E9C" w:rsidP="00D65EFE">
            <w:pPr>
              <w:jc w:val="center"/>
            </w:pP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pPr>
            <w:r>
              <w:t>3.</w:t>
            </w:r>
          </w:p>
        </w:tc>
        <w:tc>
          <w:tcPr>
            <w:tcW w:w="2977"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ind w:firstLine="37"/>
              <w:jc w:val="left"/>
            </w:pPr>
            <w:r>
              <w:t>Anotācijas III sadaļa</w:t>
            </w:r>
          </w:p>
        </w:tc>
        <w:tc>
          <w:tcPr>
            <w:tcW w:w="4394"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jc w:val="both"/>
            </w:pPr>
            <w:r w:rsidRPr="00E940D6">
              <w:t>3.</w:t>
            </w:r>
            <w:r w:rsidRPr="00E940D6">
              <w:tab/>
              <w:t xml:space="preserve">Lūdzam precizēt anotācijas III. Sadaļas “Tiesību akta projekta ietekme uz valsts budžetu un pašvaldību budžetiem” tabulā un tekstā norādīto programmas vadības izmaksu 1 305 000 euro sadalījumu atbilstoši noslēgtajam programmas </w:t>
            </w:r>
            <w:r w:rsidRPr="00E940D6">
              <w:lastRenderedPageBreak/>
              <w:t>līgumam. Vēršam uzmanību, ka vadības izmaksas ir paredzētas tikai programmas vadībai un šajā finansējumā nav iekļaujama DSF daļa.</w:t>
            </w:r>
          </w:p>
        </w:tc>
        <w:tc>
          <w:tcPr>
            <w:tcW w:w="3261" w:type="dxa"/>
            <w:tcBorders>
              <w:top w:val="single" w:sz="4" w:space="0" w:color="auto"/>
              <w:left w:val="single" w:sz="4" w:space="0" w:color="auto"/>
              <w:bottom w:val="single" w:sz="4" w:space="0" w:color="auto"/>
              <w:right w:val="single" w:sz="4" w:space="0" w:color="auto"/>
            </w:tcBorders>
          </w:tcPr>
          <w:p w:rsidR="00C53E9C" w:rsidRPr="0000629D" w:rsidRDefault="00C53E9C" w:rsidP="00D65EFE">
            <w:pPr>
              <w:pStyle w:val="naisc"/>
              <w:spacing w:before="0" w:after="0"/>
              <w:ind w:firstLine="720"/>
              <w:rPr>
                <w:b/>
              </w:rPr>
            </w:pPr>
            <w:r w:rsidRPr="0000629D">
              <w:rPr>
                <w:b/>
              </w:rPr>
              <w:lastRenderedPageBreak/>
              <w:t>Ņemts vērā</w:t>
            </w:r>
          </w:p>
        </w:tc>
        <w:tc>
          <w:tcPr>
            <w:tcW w:w="3317" w:type="dxa"/>
            <w:tcBorders>
              <w:top w:val="single" w:sz="4" w:space="0" w:color="auto"/>
              <w:left w:val="single" w:sz="4" w:space="0" w:color="auto"/>
              <w:bottom w:val="single" w:sz="4" w:space="0" w:color="auto"/>
            </w:tcBorders>
          </w:tcPr>
          <w:p w:rsidR="00C53E9C" w:rsidRPr="00EB075A" w:rsidRDefault="00C53E9C" w:rsidP="00D65EFE">
            <w:pPr>
              <w:jc w:val="center"/>
            </w:pPr>
            <w:r>
              <w:t>Lūdzu skatīt precizēto anotāciju.</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pPr>
            <w:r>
              <w:t>4.</w:t>
            </w:r>
          </w:p>
        </w:tc>
        <w:tc>
          <w:tcPr>
            <w:tcW w:w="2977"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ind w:firstLine="720"/>
            </w:pPr>
          </w:p>
        </w:tc>
        <w:tc>
          <w:tcPr>
            <w:tcW w:w="4394" w:type="dxa"/>
            <w:tcBorders>
              <w:top w:val="single" w:sz="4" w:space="0" w:color="auto"/>
              <w:left w:val="single" w:sz="4" w:space="0" w:color="auto"/>
              <w:bottom w:val="single" w:sz="4" w:space="0" w:color="auto"/>
              <w:right w:val="single" w:sz="4" w:space="0" w:color="auto"/>
            </w:tcBorders>
          </w:tcPr>
          <w:p w:rsidR="00C53E9C" w:rsidRPr="00E940D6" w:rsidRDefault="00C53E9C" w:rsidP="00D65EFE">
            <w:pPr>
              <w:jc w:val="both"/>
              <w:rPr>
                <w:bCs/>
              </w:rPr>
            </w:pPr>
            <w:r w:rsidRPr="00E940D6">
              <w:rPr>
                <w:bCs/>
              </w:rPr>
              <w:t>Priekšlikums:</w:t>
            </w:r>
          </w:p>
          <w:p w:rsidR="00C53E9C" w:rsidRDefault="00C53E9C" w:rsidP="00D65EFE">
            <w:pPr>
              <w:ind w:firstLine="720"/>
              <w:jc w:val="both"/>
            </w:pPr>
            <w:r w:rsidRPr="00F018B1">
              <w:t xml:space="preserve">Lūdzam </w:t>
            </w:r>
            <w:r>
              <w:t xml:space="preserve">nodrošināt Vadības likumam atbilstošas terminoloģijas lietojumu noteikumu projektā un ar to iesniegtajā dokumentācijā. Piemēram, vēršam uzmanību, ka programma </w:t>
            </w:r>
            <w:r w:rsidRPr="001A0131">
              <w:t xml:space="preserve">"Starptautiskā policijas sadarbība un noziedzības apkarošana" </w:t>
            </w:r>
            <w:r>
              <w:t>tiek līdzfinansēta tikai no Eiropas Ekonomikas zonas finanšu instrumenta, attiecīgi lūdzam precizēt protokollēmuma 2.punktu.</w:t>
            </w:r>
          </w:p>
          <w:p w:rsidR="00C53E9C" w:rsidRDefault="00C53E9C" w:rsidP="00D65EFE">
            <w:pPr>
              <w:ind w:firstLine="720"/>
              <w:jc w:val="both"/>
            </w:pPr>
          </w:p>
          <w:p w:rsidR="00C53E9C" w:rsidRPr="00EB075A" w:rsidRDefault="00C53E9C" w:rsidP="00D65EFE">
            <w:pPr>
              <w:ind w:firstLine="720"/>
              <w:jc w:val="both"/>
            </w:pPr>
            <w:r w:rsidRPr="0029553B">
              <w:t xml:space="preserve">Papildus lūdzam </w:t>
            </w:r>
            <w:r>
              <w:t>ņemt vērā</w:t>
            </w:r>
            <w:r w:rsidRPr="0029553B">
              <w:t xml:space="preserve"> atsevišķus tehniskus komentārus</w:t>
            </w:r>
            <w:r>
              <w:t xml:space="preserve"> noteikumu projektā un ar to iesniegtajā dokumentācijā</w:t>
            </w:r>
            <w:r w:rsidRPr="0029553B">
              <w:t xml:space="preserve"> (skatīt</w:t>
            </w:r>
            <w:r>
              <w:t xml:space="preserve"> </w:t>
            </w:r>
            <w:r w:rsidRPr="0029553B">
              <w:t xml:space="preserve">pielikumā </w:t>
            </w:r>
            <w:r>
              <w:t>labojuma režīmā).</w:t>
            </w:r>
          </w:p>
        </w:tc>
        <w:tc>
          <w:tcPr>
            <w:tcW w:w="3261"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pStyle w:val="naisc"/>
              <w:spacing w:before="0" w:after="0"/>
              <w:ind w:firstLine="720"/>
            </w:pPr>
            <w:r>
              <w:t>Ņemts vērā</w:t>
            </w:r>
          </w:p>
        </w:tc>
        <w:tc>
          <w:tcPr>
            <w:tcW w:w="3317" w:type="dxa"/>
            <w:tcBorders>
              <w:top w:val="single" w:sz="4" w:space="0" w:color="auto"/>
              <w:left w:val="single" w:sz="4" w:space="0" w:color="auto"/>
              <w:bottom w:val="single" w:sz="4" w:space="0" w:color="auto"/>
            </w:tcBorders>
          </w:tcPr>
          <w:p w:rsidR="00C53E9C" w:rsidRPr="00EB075A" w:rsidRDefault="00C53E9C" w:rsidP="00D65EFE">
            <w:pPr>
              <w:jc w:val="center"/>
            </w:pPr>
            <w:r>
              <w:t>Lūdzu skatīt precizētos dokumentus.</w:t>
            </w:r>
          </w:p>
        </w:tc>
      </w:tr>
      <w:tr w:rsidR="00C53E9C" w:rsidRPr="00EB075A" w:rsidTr="00D65EFE">
        <w:trPr>
          <w:trHeight w:val="132"/>
        </w:trPr>
        <w:tc>
          <w:tcPr>
            <w:tcW w:w="675" w:type="dxa"/>
            <w:tcBorders>
              <w:top w:val="single" w:sz="4" w:space="0" w:color="auto"/>
              <w:left w:val="single" w:sz="4" w:space="0" w:color="auto"/>
              <w:bottom w:val="single" w:sz="4" w:space="0" w:color="auto"/>
              <w:right w:val="single" w:sz="4" w:space="0" w:color="auto"/>
            </w:tcBorders>
            <w:shd w:val="clear" w:color="auto" w:fill="F2F2F2"/>
          </w:tcPr>
          <w:p w:rsidR="00C53E9C" w:rsidRPr="00D824DC" w:rsidRDefault="00C53E9C" w:rsidP="00D65EFE">
            <w:pPr>
              <w:pStyle w:val="naisc"/>
              <w:spacing w:before="0" w:after="0"/>
              <w:rPr>
                <w:sz w:val="10"/>
              </w:rPr>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C53E9C" w:rsidRPr="00EB075A" w:rsidRDefault="00C53E9C" w:rsidP="00D65EFE">
            <w:pPr>
              <w:pStyle w:val="naisc"/>
              <w:spacing w:before="0" w:after="0"/>
              <w:ind w:firstLine="720"/>
            </w:pPr>
          </w:p>
        </w:tc>
        <w:tc>
          <w:tcPr>
            <w:tcW w:w="4394" w:type="dxa"/>
            <w:tcBorders>
              <w:top w:val="single" w:sz="4" w:space="0" w:color="auto"/>
              <w:left w:val="single" w:sz="4" w:space="0" w:color="auto"/>
              <w:bottom w:val="single" w:sz="4" w:space="0" w:color="auto"/>
              <w:right w:val="single" w:sz="4" w:space="0" w:color="auto"/>
            </w:tcBorders>
            <w:shd w:val="clear" w:color="auto" w:fill="F2F2F2"/>
          </w:tcPr>
          <w:p w:rsidR="00C53E9C" w:rsidRPr="00E940D6" w:rsidRDefault="00C53E9C" w:rsidP="00D65EFE">
            <w:pPr>
              <w:jc w:val="both"/>
              <w:rPr>
                <w:bCs/>
              </w:rPr>
            </w:pPr>
          </w:p>
        </w:tc>
        <w:tc>
          <w:tcPr>
            <w:tcW w:w="3261" w:type="dxa"/>
            <w:tcBorders>
              <w:top w:val="single" w:sz="4" w:space="0" w:color="auto"/>
              <w:left w:val="single" w:sz="4" w:space="0" w:color="auto"/>
              <w:bottom w:val="single" w:sz="4" w:space="0" w:color="auto"/>
              <w:right w:val="single" w:sz="4" w:space="0" w:color="auto"/>
            </w:tcBorders>
            <w:shd w:val="clear" w:color="auto" w:fill="F2F2F2"/>
          </w:tcPr>
          <w:p w:rsidR="00C53E9C" w:rsidRDefault="00C53E9C" w:rsidP="00D65EFE">
            <w:pPr>
              <w:pStyle w:val="naisc"/>
              <w:spacing w:before="0" w:after="0"/>
              <w:ind w:firstLine="720"/>
            </w:pPr>
          </w:p>
        </w:tc>
        <w:tc>
          <w:tcPr>
            <w:tcW w:w="3317" w:type="dxa"/>
            <w:tcBorders>
              <w:top w:val="single" w:sz="4" w:space="0" w:color="auto"/>
              <w:left w:val="single" w:sz="4" w:space="0" w:color="auto"/>
              <w:bottom w:val="single" w:sz="4" w:space="0" w:color="auto"/>
            </w:tcBorders>
            <w:shd w:val="clear" w:color="auto" w:fill="F2F2F2"/>
          </w:tcPr>
          <w:p w:rsidR="00C53E9C" w:rsidRDefault="00C53E9C" w:rsidP="00D65EFE">
            <w:pPr>
              <w:jc w:val="center"/>
            </w:pP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1.</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Noteikumu projekts</w:t>
            </w:r>
          </w:p>
          <w:p w:rsidR="00C53E9C" w:rsidRPr="001F4F6A" w:rsidRDefault="00C53E9C" w:rsidP="00D65EFE">
            <w:pPr>
              <w:jc w:val="both"/>
            </w:pPr>
            <w:r w:rsidRPr="001F4F6A">
              <w:t>5.</w:t>
            </w:r>
            <w:r w:rsidRPr="001F4F6A">
              <w:rPr>
                <w:sz w:val="28"/>
                <w:szCs w:val="28"/>
              </w:rPr>
              <w:t xml:space="preserve"> </w:t>
            </w:r>
            <w:r w:rsidRPr="001F4F6A">
              <w:t xml:space="preserve">Kopējais programmai pieejamais finansējums, kas 100 procentu apmērā sedz programmas apsaimniekošanas un projektu izmaksas, ir 20 528 235 </w:t>
            </w:r>
            <w:r w:rsidRPr="001F4F6A">
              <w:rPr>
                <w:i/>
                <w:iCs/>
              </w:rPr>
              <w:t>euro</w:t>
            </w:r>
            <w:r w:rsidRPr="001F4F6A">
              <w:t xml:space="preserve">, tai skaitā Norvēģijas valdības finanšu instrumenta līdzfinansējums </w:t>
            </w:r>
            <w:r w:rsidRPr="001F4F6A">
              <w:lastRenderedPageBreak/>
              <w:t xml:space="preserve">– 171 000 </w:t>
            </w:r>
            <w:r w:rsidRPr="001F4F6A">
              <w:rPr>
                <w:i/>
                <w:iCs/>
              </w:rPr>
              <w:t>euro</w:t>
            </w:r>
            <w:r w:rsidRPr="001F4F6A">
              <w:t xml:space="preserve"> apmērā, Eiropas Ekonomikas zonas finanšu instrumenta līdzfinansējums – 17 278 000 </w:t>
            </w:r>
            <w:r w:rsidRPr="001F4F6A">
              <w:rPr>
                <w:i/>
                <w:iCs/>
              </w:rPr>
              <w:t>euro</w:t>
            </w:r>
            <w:r w:rsidRPr="001F4F6A">
              <w:t xml:space="preserve"> apmērā un Latvijas valsts budžeta līdzfinansējums – 3 079 235 </w:t>
            </w:r>
            <w:r w:rsidRPr="001F4F6A">
              <w:rPr>
                <w:i/>
                <w:iCs/>
              </w:rPr>
              <w:t>euro</w:t>
            </w:r>
            <w:r w:rsidRPr="001F4F6A">
              <w:t xml:space="preserve"> apmērā.</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rPr>
            </w:pPr>
            <w:r w:rsidRPr="001F4F6A">
              <w:rPr>
                <w:b/>
              </w:rPr>
              <w:lastRenderedPageBreak/>
              <w:t>Finanšu ministrija</w:t>
            </w:r>
            <w:r>
              <w:rPr>
                <w:b/>
              </w:rPr>
              <w:t xml:space="preserve"> (pirmreizējā saskaņošanā izteiktie iebildumi)</w:t>
            </w:r>
          </w:p>
          <w:p w:rsidR="00C53E9C" w:rsidRPr="001F4F6A" w:rsidRDefault="00C53E9C" w:rsidP="00C53E9C">
            <w:pPr>
              <w:pStyle w:val="ListParagraph"/>
              <w:numPr>
                <w:ilvl w:val="1"/>
                <w:numId w:val="2"/>
              </w:numPr>
              <w:tabs>
                <w:tab w:val="left" w:pos="567"/>
              </w:tabs>
              <w:spacing w:after="0" w:line="240" w:lineRule="auto"/>
              <w:ind w:left="42" w:hanging="42"/>
              <w:contextualSpacing w:val="0"/>
              <w:jc w:val="both"/>
              <w:rPr>
                <w:rFonts w:ascii="Times New Roman" w:hAnsi="Times New Roman"/>
                <w:sz w:val="24"/>
                <w:szCs w:val="24"/>
              </w:rPr>
            </w:pPr>
            <w:bookmarkStart w:id="0" w:name="_Hlk82614142"/>
            <w:r w:rsidRPr="001F4F6A">
              <w:rPr>
                <w:rFonts w:ascii="Times New Roman" w:hAnsi="Times New Roman"/>
                <w:sz w:val="24"/>
                <w:szCs w:val="24"/>
              </w:rPr>
              <w:t>Atbilstoši 2021.</w:t>
            </w:r>
            <w:r>
              <w:rPr>
                <w:rFonts w:ascii="Times New Roman" w:hAnsi="Times New Roman"/>
                <w:sz w:val="24"/>
                <w:szCs w:val="24"/>
              </w:rPr>
              <w:t> </w:t>
            </w:r>
            <w:r w:rsidRPr="001F4F6A">
              <w:rPr>
                <w:rFonts w:ascii="Times New Roman" w:hAnsi="Times New Roman"/>
                <w:sz w:val="24"/>
                <w:szCs w:val="24"/>
              </w:rPr>
              <w:t>gada 28.</w:t>
            </w:r>
            <w:r>
              <w:rPr>
                <w:rFonts w:ascii="Times New Roman" w:hAnsi="Times New Roman"/>
                <w:sz w:val="24"/>
                <w:szCs w:val="24"/>
              </w:rPr>
              <w:t> </w:t>
            </w:r>
            <w:r w:rsidRPr="001F4F6A">
              <w:rPr>
                <w:rFonts w:ascii="Times New Roman" w:hAnsi="Times New Roman"/>
                <w:sz w:val="24"/>
                <w:szCs w:val="24"/>
              </w:rPr>
              <w:t>maija Finanšu instrumenta biroja vēstulei “Rezerves finansējuma piešķiršana”</w:t>
            </w:r>
            <w:r w:rsidRPr="001F4F6A">
              <w:rPr>
                <w:rStyle w:val="FootnoteReference"/>
                <w:rFonts w:ascii="Times New Roman" w:hAnsi="Times New Roman"/>
                <w:sz w:val="24"/>
                <w:szCs w:val="24"/>
              </w:rPr>
              <w:footnoteReference w:id="1"/>
            </w:r>
            <w:r w:rsidRPr="001F4F6A">
              <w:rPr>
                <w:rFonts w:ascii="Times New Roman" w:hAnsi="Times New Roman"/>
                <w:sz w:val="24"/>
                <w:szCs w:val="24"/>
              </w:rPr>
              <w:t xml:space="preserve"> donorvalstis ir apstiprinājušas rezerves finansējuma piešķīruma sadalījumu </w:t>
            </w:r>
            <w:r>
              <w:rPr>
                <w:rFonts w:ascii="Times New Roman" w:hAnsi="Times New Roman"/>
                <w:sz w:val="24"/>
                <w:szCs w:val="24"/>
              </w:rPr>
              <w:t>šādi</w:t>
            </w:r>
            <w:r w:rsidRPr="001F4F6A">
              <w:rPr>
                <w:rFonts w:ascii="Times New Roman" w:hAnsi="Times New Roman"/>
                <w:sz w:val="24"/>
                <w:szCs w:val="24"/>
              </w:rPr>
              <w:t>:</w:t>
            </w:r>
          </w:p>
          <w:p w:rsidR="00C53E9C" w:rsidRPr="001F4F6A" w:rsidRDefault="00C53E9C" w:rsidP="00C53E9C">
            <w:pPr>
              <w:pStyle w:val="ListParagraph"/>
              <w:numPr>
                <w:ilvl w:val="1"/>
                <w:numId w:val="3"/>
              </w:numPr>
              <w:tabs>
                <w:tab w:val="left" w:pos="851"/>
              </w:tabs>
              <w:spacing w:after="0" w:line="240" w:lineRule="auto"/>
              <w:ind w:left="42" w:hanging="42"/>
              <w:jc w:val="both"/>
              <w:rPr>
                <w:rFonts w:ascii="Times New Roman" w:hAnsi="Times New Roman"/>
                <w:sz w:val="24"/>
                <w:szCs w:val="24"/>
              </w:rPr>
            </w:pPr>
            <w:r w:rsidRPr="001F4F6A">
              <w:rPr>
                <w:rFonts w:ascii="Times New Roman" w:hAnsi="Times New Roman"/>
                <w:sz w:val="24"/>
                <w:szCs w:val="24"/>
              </w:rPr>
              <w:t xml:space="preserve">Eiropas Ekonomikas zonas finanšu instrumenta (turpmāk – EEZ FI) līdzfinansējums 2 278 000 </w:t>
            </w:r>
            <w:r w:rsidRPr="001F4F6A">
              <w:rPr>
                <w:rFonts w:ascii="Times New Roman" w:hAnsi="Times New Roman"/>
                <w:i/>
                <w:iCs/>
                <w:sz w:val="24"/>
                <w:szCs w:val="24"/>
              </w:rPr>
              <w:t>euro</w:t>
            </w:r>
            <w:r w:rsidRPr="001F4F6A">
              <w:rPr>
                <w:rFonts w:ascii="Times New Roman" w:hAnsi="Times New Roman"/>
                <w:sz w:val="24"/>
                <w:szCs w:val="24"/>
              </w:rPr>
              <w:t xml:space="preserve"> </w:t>
            </w:r>
            <w:bookmarkStart w:id="1" w:name="_Hlk82601287"/>
            <w:r w:rsidRPr="001F4F6A">
              <w:rPr>
                <w:rFonts w:ascii="Times New Roman" w:hAnsi="Times New Roman"/>
                <w:sz w:val="24"/>
                <w:szCs w:val="24"/>
              </w:rPr>
              <w:lastRenderedPageBreak/>
              <w:t>programmai “Starptautiskā policijas sadarbība un noziedzības apkarošana</w:t>
            </w:r>
            <w:r w:rsidRPr="00B87686">
              <w:rPr>
                <w:rFonts w:ascii="Times New Roman" w:hAnsi="Times New Roman"/>
                <w:sz w:val="24"/>
                <w:szCs w:val="24"/>
              </w:rPr>
              <w:t>”</w:t>
            </w:r>
            <w:bookmarkEnd w:id="1"/>
            <w:r w:rsidRPr="001F4F6A">
              <w:rPr>
                <w:rFonts w:ascii="Times New Roman" w:hAnsi="Times New Roman"/>
                <w:sz w:val="24"/>
                <w:szCs w:val="24"/>
              </w:rPr>
              <w:t xml:space="preserve"> (turpmāk – programma) jauna iepriekš noteiktā projekta</w:t>
            </w:r>
            <w:bookmarkStart w:id="2" w:name="_Hlk82601645"/>
            <w:r w:rsidRPr="001F4F6A">
              <w:rPr>
                <w:rFonts w:ascii="Times New Roman" w:hAnsi="Times New Roman"/>
                <w:sz w:val="24"/>
                <w:szCs w:val="24"/>
              </w:rPr>
              <w:t xml:space="preserve"> </w:t>
            </w:r>
            <w:r w:rsidRPr="00B87686">
              <w:rPr>
                <w:rFonts w:ascii="Times New Roman" w:hAnsi="Times New Roman"/>
                <w:sz w:val="24"/>
                <w:szCs w:val="24"/>
              </w:rPr>
              <w:t>“</w:t>
            </w:r>
            <w:r w:rsidRPr="001F4F6A">
              <w:rPr>
                <w:rFonts w:ascii="Times New Roman" w:hAnsi="Times New Roman"/>
                <w:sz w:val="24"/>
                <w:szCs w:val="24"/>
              </w:rPr>
              <w:t>Tiesu ekspertīžu sistēmas un notikumu vietas apskates kapacitātes stiprināšana</w:t>
            </w:r>
            <w:r w:rsidRPr="00B87686">
              <w:rPr>
                <w:rFonts w:ascii="Times New Roman" w:hAnsi="Times New Roman"/>
                <w:sz w:val="24"/>
                <w:szCs w:val="24"/>
              </w:rPr>
              <w:t>”</w:t>
            </w:r>
            <w:r w:rsidRPr="001F4F6A">
              <w:rPr>
                <w:rFonts w:ascii="Times New Roman" w:hAnsi="Times New Roman"/>
                <w:sz w:val="24"/>
                <w:szCs w:val="24"/>
              </w:rPr>
              <w:t xml:space="preserve"> </w:t>
            </w:r>
            <w:bookmarkEnd w:id="2"/>
            <w:r w:rsidRPr="001F4F6A">
              <w:rPr>
                <w:rFonts w:ascii="Times New Roman" w:hAnsi="Times New Roman"/>
                <w:sz w:val="24"/>
                <w:szCs w:val="24"/>
              </w:rPr>
              <w:t xml:space="preserve">(turpmāk </w:t>
            </w:r>
            <w:r>
              <w:rPr>
                <w:rFonts w:ascii="Times New Roman" w:hAnsi="Times New Roman"/>
                <w:sz w:val="24"/>
                <w:szCs w:val="24"/>
              </w:rPr>
              <w:t>–</w:t>
            </w:r>
            <w:r w:rsidRPr="001F4F6A">
              <w:rPr>
                <w:rFonts w:ascii="Times New Roman" w:hAnsi="Times New Roman"/>
                <w:sz w:val="24"/>
                <w:szCs w:val="24"/>
              </w:rPr>
              <w:t xml:space="preserve"> projekts) īstenošanai (kopējās projekta attiecināmās izmaksas 2</w:t>
            </w:r>
            <w:r w:rsidRPr="001F4F6A">
              <w:rPr>
                <w:rFonts w:ascii="Times New Roman" w:hAnsi="Times New Roman"/>
                <w:sz w:val="24"/>
                <w:szCs w:val="24"/>
                <w:lang w:eastAsia="lv-LV"/>
              </w:rPr>
              <w:t> </w:t>
            </w:r>
            <w:r w:rsidRPr="001F4F6A">
              <w:rPr>
                <w:rFonts w:ascii="Times New Roman" w:hAnsi="Times New Roman"/>
                <w:sz w:val="24"/>
                <w:szCs w:val="24"/>
              </w:rPr>
              <w:t>680</w:t>
            </w:r>
            <w:r w:rsidRPr="001F4F6A">
              <w:rPr>
                <w:rFonts w:ascii="Times New Roman" w:hAnsi="Times New Roman"/>
                <w:sz w:val="24"/>
                <w:szCs w:val="24"/>
                <w:lang w:eastAsia="lv-LV"/>
              </w:rPr>
              <w:t> </w:t>
            </w:r>
            <w:r w:rsidRPr="001F4F6A">
              <w:rPr>
                <w:rFonts w:ascii="Times New Roman" w:hAnsi="Times New Roman"/>
                <w:sz w:val="24"/>
                <w:szCs w:val="24"/>
              </w:rPr>
              <w:t xml:space="preserve">000 </w:t>
            </w:r>
            <w:r w:rsidRPr="001F4F6A">
              <w:rPr>
                <w:rFonts w:ascii="Times New Roman" w:hAnsi="Times New Roman"/>
                <w:i/>
                <w:iCs/>
                <w:sz w:val="24"/>
                <w:szCs w:val="24"/>
              </w:rPr>
              <w:t>euro (</w:t>
            </w:r>
            <w:r w:rsidRPr="001F4F6A">
              <w:rPr>
                <w:rFonts w:ascii="Times New Roman" w:hAnsi="Times New Roman"/>
                <w:sz w:val="24"/>
                <w:szCs w:val="24"/>
              </w:rPr>
              <w:t>85</w:t>
            </w:r>
            <w:r>
              <w:rPr>
                <w:rFonts w:ascii="Times New Roman" w:hAnsi="Times New Roman"/>
                <w:sz w:val="24"/>
                <w:szCs w:val="24"/>
              </w:rPr>
              <w:t> </w:t>
            </w:r>
            <w:r w:rsidRPr="001F4F6A">
              <w:rPr>
                <w:rFonts w:ascii="Times New Roman" w:hAnsi="Times New Roman"/>
                <w:sz w:val="24"/>
                <w:szCs w:val="24"/>
              </w:rPr>
              <w:t xml:space="preserve">% grants), t.sk., 420 000 </w:t>
            </w:r>
            <w:r w:rsidRPr="001F4F6A">
              <w:rPr>
                <w:rFonts w:ascii="Times New Roman" w:hAnsi="Times New Roman"/>
                <w:i/>
                <w:iCs/>
                <w:sz w:val="24"/>
                <w:szCs w:val="24"/>
              </w:rPr>
              <w:t>euro</w:t>
            </w:r>
            <w:r w:rsidRPr="001F4F6A">
              <w:rPr>
                <w:rFonts w:ascii="Times New Roman" w:hAnsi="Times New Roman"/>
                <w:sz w:val="24"/>
                <w:szCs w:val="24"/>
              </w:rPr>
              <w:t xml:space="preserve"> (15</w:t>
            </w:r>
            <w:r>
              <w:rPr>
                <w:rFonts w:ascii="Times New Roman" w:hAnsi="Times New Roman"/>
                <w:sz w:val="24"/>
                <w:szCs w:val="24"/>
              </w:rPr>
              <w:t> </w:t>
            </w:r>
            <w:r w:rsidRPr="001F4F6A">
              <w:rPr>
                <w:rFonts w:ascii="Times New Roman" w:hAnsi="Times New Roman"/>
                <w:sz w:val="24"/>
                <w:szCs w:val="24"/>
              </w:rPr>
              <w:t>% valsts budžeta līdzfinansējums);</w:t>
            </w:r>
          </w:p>
          <w:p w:rsidR="00C53E9C" w:rsidRPr="001F4F6A" w:rsidRDefault="00C53E9C" w:rsidP="00C53E9C">
            <w:pPr>
              <w:pStyle w:val="ListParagraph"/>
              <w:numPr>
                <w:ilvl w:val="1"/>
                <w:numId w:val="3"/>
              </w:numPr>
              <w:tabs>
                <w:tab w:val="left" w:pos="851"/>
              </w:tabs>
              <w:spacing w:after="0" w:line="240" w:lineRule="auto"/>
              <w:ind w:left="42" w:hanging="42"/>
              <w:jc w:val="both"/>
              <w:rPr>
                <w:rFonts w:ascii="Times New Roman" w:hAnsi="Times New Roman"/>
                <w:sz w:val="24"/>
                <w:szCs w:val="24"/>
              </w:rPr>
            </w:pPr>
            <w:r w:rsidRPr="001F4F6A">
              <w:rPr>
                <w:rFonts w:ascii="Times New Roman" w:hAnsi="Times New Roman"/>
                <w:sz w:val="24"/>
                <w:szCs w:val="24"/>
              </w:rPr>
              <w:t xml:space="preserve">Norvēģijas finanšu instrumenta (turpmāk – NFI) līdzfinansējums 171 000 </w:t>
            </w:r>
            <w:r w:rsidRPr="001F4F6A">
              <w:rPr>
                <w:rFonts w:ascii="Times New Roman" w:hAnsi="Times New Roman"/>
                <w:i/>
                <w:iCs/>
                <w:sz w:val="24"/>
                <w:szCs w:val="24"/>
              </w:rPr>
              <w:t xml:space="preserve">euro </w:t>
            </w:r>
            <w:r w:rsidRPr="001F4F6A">
              <w:rPr>
                <w:rFonts w:ascii="Times New Roman" w:hAnsi="Times New Roman"/>
                <w:sz w:val="24"/>
                <w:szCs w:val="24"/>
              </w:rPr>
              <w:t>(100</w:t>
            </w:r>
            <w:r>
              <w:rPr>
                <w:rFonts w:ascii="Times New Roman" w:hAnsi="Times New Roman"/>
                <w:sz w:val="24"/>
                <w:szCs w:val="24"/>
              </w:rPr>
              <w:t> </w:t>
            </w:r>
            <w:r w:rsidRPr="001F4F6A">
              <w:rPr>
                <w:rFonts w:ascii="Times New Roman" w:hAnsi="Times New Roman"/>
                <w:sz w:val="24"/>
                <w:szCs w:val="24"/>
              </w:rPr>
              <w:t>% grants)</w:t>
            </w:r>
            <w:r w:rsidRPr="001F4F6A">
              <w:rPr>
                <w:rFonts w:ascii="Times New Roman" w:hAnsi="Times New Roman"/>
                <w:i/>
                <w:iCs/>
                <w:sz w:val="24"/>
                <w:szCs w:val="24"/>
              </w:rPr>
              <w:t xml:space="preserve"> </w:t>
            </w:r>
            <w:r w:rsidRPr="001F4F6A">
              <w:rPr>
                <w:rFonts w:ascii="Times New Roman" w:hAnsi="Times New Roman"/>
                <w:iCs/>
                <w:sz w:val="24"/>
                <w:szCs w:val="24"/>
              </w:rPr>
              <w:t>programmas</w:t>
            </w:r>
            <w:r w:rsidRPr="001F4F6A">
              <w:rPr>
                <w:rFonts w:ascii="Times New Roman" w:hAnsi="Times New Roman"/>
                <w:i/>
                <w:iCs/>
                <w:sz w:val="24"/>
                <w:szCs w:val="24"/>
              </w:rPr>
              <w:t xml:space="preserve"> </w:t>
            </w:r>
            <w:r w:rsidRPr="001F4F6A">
              <w:rPr>
                <w:rFonts w:ascii="Times New Roman" w:hAnsi="Times New Roman"/>
                <w:sz w:val="24"/>
                <w:szCs w:val="24"/>
              </w:rPr>
              <w:t xml:space="preserve">Divpusējās sadarbības fonda (turpmāk – DSF) </w:t>
            </w:r>
            <w:bookmarkStart w:id="3" w:name="_Hlk82601353"/>
            <w:r w:rsidRPr="001F4F6A">
              <w:rPr>
                <w:rFonts w:ascii="Times New Roman" w:hAnsi="Times New Roman"/>
                <w:sz w:val="24"/>
                <w:szCs w:val="24"/>
              </w:rPr>
              <w:t>iniciatīvas īstenošanai projektā sadarbībā ar donoru partneri Norvēģijas Nacionāl</w:t>
            </w:r>
            <w:r>
              <w:rPr>
                <w:rFonts w:ascii="Times New Roman" w:hAnsi="Times New Roman"/>
                <w:sz w:val="24"/>
                <w:szCs w:val="24"/>
              </w:rPr>
              <w:t>o</w:t>
            </w:r>
            <w:r w:rsidRPr="001F4F6A">
              <w:rPr>
                <w:rFonts w:ascii="Times New Roman" w:hAnsi="Times New Roman"/>
                <w:sz w:val="24"/>
                <w:szCs w:val="24"/>
              </w:rPr>
              <w:t xml:space="preserve"> Kriminālās izlūkošanas pārvaldi</w:t>
            </w:r>
            <w:bookmarkEnd w:id="3"/>
            <w:r w:rsidRPr="001F4F6A">
              <w:rPr>
                <w:rFonts w:ascii="Times New Roman" w:hAnsi="Times New Roman"/>
                <w:sz w:val="24"/>
                <w:szCs w:val="24"/>
              </w:rPr>
              <w:t>.</w:t>
            </w:r>
          </w:p>
          <w:bookmarkEnd w:id="0"/>
          <w:p w:rsidR="00C53E9C" w:rsidRPr="001F4F6A" w:rsidRDefault="00C53E9C" w:rsidP="00D65EFE">
            <w:pPr>
              <w:tabs>
                <w:tab w:val="left" w:pos="851"/>
              </w:tabs>
              <w:jc w:val="both"/>
            </w:pPr>
            <w:r w:rsidRPr="001F4F6A">
              <w:t>Ņemot vērā augstāk minēto, lūdzam precizēt noteikumu projekta 5.</w:t>
            </w:r>
            <w:r>
              <w:t> </w:t>
            </w:r>
            <w:r w:rsidRPr="001F4F6A">
              <w:t xml:space="preserve">punktā un visos saistītajos noteikuma projekta dokumentos norādīto programmas finansējumu, jo NFI rezerves līdzfinansējums 171 000 </w:t>
            </w:r>
            <w:r w:rsidRPr="001F4F6A">
              <w:rPr>
                <w:i/>
                <w:iCs/>
              </w:rPr>
              <w:t>euro</w:t>
            </w:r>
            <w:r w:rsidRPr="001F4F6A">
              <w:t>, kas piešķirts DSF, nav iekļaujams programmas kopējā finansējumā. Attiecīgi kopējais programmai pieejamais finansējums, kas 100</w:t>
            </w:r>
            <w:r>
              <w:t> </w:t>
            </w:r>
            <w:r w:rsidRPr="001F4F6A">
              <w:t xml:space="preserve">% sedz programmas apsaimniekošanas un projektu izmaksas, ir 20 327 059 </w:t>
            </w:r>
            <w:r w:rsidRPr="001F4F6A">
              <w:rPr>
                <w:i/>
                <w:iCs/>
              </w:rPr>
              <w:t>euro (bez programmai piešķirtiem DSF līdzekļiem</w:t>
            </w:r>
            <w:r w:rsidRPr="001F4F6A">
              <w:rPr>
                <w:rStyle w:val="FootnoteReference"/>
                <w:i/>
                <w:iCs/>
              </w:rPr>
              <w:footnoteReference w:id="2"/>
            </w:r>
            <w:r w:rsidRPr="001F4F6A">
              <w:rPr>
                <w:i/>
                <w:iCs/>
              </w:rPr>
              <w:t>)</w:t>
            </w:r>
            <w:r w:rsidRPr="001F4F6A">
              <w:t xml:space="preserve">, t.sk., EEZ FI līdzfinansējums 17 278 000 </w:t>
            </w:r>
            <w:r w:rsidRPr="001F4F6A">
              <w:rPr>
                <w:i/>
                <w:iCs/>
              </w:rPr>
              <w:t>euro</w:t>
            </w:r>
            <w:r w:rsidRPr="001F4F6A">
              <w:t xml:space="preserve"> un valsts budžeta </w:t>
            </w:r>
            <w:r w:rsidRPr="001F4F6A">
              <w:lastRenderedPageBreak/>
              <w:t>līdzfinansējums</w:t>
            </w:r>
            <w:r>
              <w:t xml:space="preserve"> </w:t>
            </w:r>
            <w:r w:rsidRPr="001F4F6A">
              <w:t xml:space="preserve">3 049 059 </w:t>
            </w:r>
            <w:r w:rsidRPr="001F4F6A">
              <w:rPr>
                <w:i/>
                <w:iCs/>
              </w:rPr>
              <w:t>euro</w:t>
            </w:r>
            <w:r w:rsidRPr="001F4F6A">
              <w:t xml:space="preserve">. Vienlaikus atbalstām, ka kopējais rezerves finansējuma piešķīrums, t.sk. DSF, kas novirzāms projekta mērķu un rezultātu sasniegšanai tiktu iekļauts saistītajos noteikuma projekta dokumentos, sniedzot pilnvērtīgu informāciju par pieejamo finansējumu programmā, projektā un divpusējās sadarbības aktivitāšu īstenošanai. </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lastRenderedPageBreak/>
              <w:t>Ņemts vērā</w:t>
            </w:r>
          </w:p>
          <w:p w:rsidR="00C53E9C" w:rsidRPr="001F4F6A" w:rsidRDefault="00C53E9C" w:rsidP="00D65EFE">
            <w:pPr>
              <w:jc w:val="both"/>
              <w:rPr>
                <w:bCs/>
              </w:rPr>
            </w:pPr>
            <w:r w:rsidRPr="001F4F6A">
              <w:rPr>
                <w:bCs/>
              </w:rPr>
              <w:t>Veikti precizējumi noteikumu projektā, anotācijā un koncepcijā.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rsidRPr="001F4F6A">
              <w:rPr>
                <w:lang w:eastAsia="en-US"/>
              </w:rPr>
              <w:t xml:space="preserve">"5. Kopējais programmai pieejamais finansējums, kas 100 procentu apmērā sedz programmas apsaimniekošanas un projektu izmaksas, ir 20 327 059 </w:t>
            </w:r>
            <w:r w:rsidRPr="001F4F6A">
              <w:rPr>
                <w:i/>
                <w:iCs/>
                <w:lang w:eastAsia="en-US"/>
              </w:rPr>
              <w:t>euro</w:t>
            </w:r>
            <w:r w:rsidRPr="001F4F6A">
              <w:rPr>
                <w:lang w:eastAsia="en-US"/>
              </w:rPr>
              <w:t xml:space="preserve">, tai skaitā Eiropas Ekonomikas zonas finanšu instrumenta līdzfinansējums 17 278 000 </w:t>
            </w:r>
            <w:r w:rsidRPr="001F4F6A">
              <w:rPr>
                <w:i/>
                <w:iCs/>
                <w:lang w:eastAsia="en-US"/>
              </w:rPr>
              <w:t>euro</w:t>
            </w:r>
            <w:r w:rsidRPr="001F4F6A">
              <w:rPr>
                <w:lang w:eastAsia="en-US"/>
              </w:rPr>
              <w:t xml:space="preserve"> un Latvijas valsts budžeta </w:t>
            </w:r>
            <w:r w:rsidRPr="001F4F6A">
              <w:rPr>
                <w:lang w:eastAsia="en-US"/>
              </w:rPr>
              <w:lastRenderedPageBreak/>
              <w:t xml:space="preserve">līdzfinansējums 3 049 235 </w:t>
            </w:r>
            <w:r w:rsidRPr="001F4F6A">
              <w:rPr>
                <w:i/>
                <w:iCs/>
                <w:lang w:eastAsia="en-US"/>
              </w:rPr>
              <w:t>euro</w:t>
            </w:r>
            <w:r w:rsidRPr="001F4F6A">
              <w:rPr>
                <w:lang w:eastAsia="en-US"/>
              </w:rPr>
              <w:t>.;</w:t>
            </w:r>
          </w:p>
          <w:p w:rsidR="00C53E9C" w:rsidRPr="001F4F6A" w:rsidRDefault="00C53E9C" w:rsidP="00D65EFE">
            <w:pPr>
              <w:jc w:val="both"/>
              <w:rPr>
                <w:lang w:eastAsia="en-US"/>
              </w:rPr>
            </w:pP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lastRenderedPageBreak/>
              <w:t>2.</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Anotācijas III sadaļa</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pStyle w:val="ListParagraph"/>
              <w:tabs>
                <w:tab w:val="left" w:pos="851"/>
              </w:tabs>
              <w:spacing w:after="0" w:line="240" w:lineRule="auto"/>
              <w:ind w:left="0"/>
              <w:jc w:val="both"/>
              <w:rPr>
                <w:rFonts w:ascii="Times New Roman" w:hAnsi="Times New Roman"/>
                <w:sz w:val="24"/>
                <w:szCs w:val="24"/>
                <w:lang w:eastAsia="lv-LV"/>
              </w:rPr>
            </w:pPr>
            <w:r w:rsidRPr="001F4F6A">
              <w:rPr>
                <w:rFonts w:ascii="Times New Roman" w:hAnsi="Times New Roman"/>
                <w:sz w:val="24"/>
                <w:szCs w:val="24"/>
                <w:lang w:eastAsia="lv-LV"/>
              </w:rPr>
              <w:t>2. MK noteikumu projekta anotācijas III sadaļā saskaņā ar likumu “Par valsts budžetu 2021.</w:t>
            </w:r>
            <w:r>
              <w:rPr>
                <w:rFonts w:ascii="Times New Roman" w:hAnsi="Times New Roman"/>
                <w:sz w:val="24"/>
                <w:szCs w:val="24"/>
                <w:lang w:eastAsia="lv-LV"/>
              </w:rPr>
              <w:t> </w:t>
            </w:r>
            <w:r w:rsidRPr="001F4F6A">
              <w:rPr>
                <w:rFonts w:ascii="Times New Roman" w:hAnsi="Times New Roman"/>
                <w:sz w:val="24"/>
                <w:szCs w:val="24"/>
                <w:lang w:eastAsia="lv-LV"/>
              </w:rPr>
              <w:t>gadam” un likumu “Par vidēja termiņa budžeta ietvaru 2021., 2022. un 2023.</w:t>
            </w:r>
            <w:r>
              <w:rPr>
                <w:rFonts w:ascii="Times New Roman" w:hAnsi="Times New Roman"/>
                <w:sz w:val="24"/>
                <w:szCs w:val="24"/>
                <w:lang w:eastAsia="lv-LV"/>
              </w:rPr>
              <w:t> </w:t>
            </w:r>
            <w:r w:rsidRPr="001F4F6A">
              <w:rPr>
                <w:rFonts w:ascii="Times New Roman" w:hAnsi="Times New Roman"/>
                <w:sz w:val="24"/>
                <w:szCs w:val="24"/>
                <w:lang w:eastAsia="lv-LV"/>
              </w:rPr>
              <w:t>gadam” Eiropas Ekonomikas zonas finanšu instrumenta 2014.–2021.</w:t>
            </w:r>
            <w:r>
              <w:rPr>
                <w:rFonts w:ascii="Times New Roman" w:hAnsi="Times New Roman"/>
                <w:sz w:val="24"/>
                <w:szCs w:val="24"/>
                <w:lang w:eastAsia="lv-LV"/>
              </w:rPr>
              <w:t> </w:t>
            </w:r>
            <w:r w:rsidRPr="001F4F6A">
              <w:rPr>
                <w:rFonts w:ascii="Times New Roman" w:hAnsi="Times New Roman"/>
                <w:sz w:val="24"/>
                <w:szCs w:val="24"/>
                <w:lang w:eastAsia="lv-LV"/>
              </w:rPr>
              <w:t>gada perioda programmai “Starptautiskā policijas sadarbība un noziedzības apkarošana” norādītais plānotais finansējums budžeta apakšprogrammā 71.06.00 "Eiropas Ekonomikas zonas un Norvēģijas finanšu instrumentu finansētie projekti” 2022., 2023. un 2024.</w:t>
            </w:r>
            <w:r>
              <w:rPr>
                <w:rFonts w:ascii="Times New Roman" w:hAnsi="Times New Roman"/>
                <w:sz w:val="24"/>
                <w:szCs w:val="24"/>
                <w:lang w:eastAsia="lv-LV"/>
              </w:rPr>
              <w:t> </w:t>
            </w:r>
            <w:r w:rsidRPr="001F4F6A">
              <w:rPr>
                <w:rFonts w:ascii="Times New Roman" w:hAnsi="Times New Roman"/>
                <w:sz w:val="24"/>
                <w:szCs w:val="24"/>
                <w:lang w:eastAsia="lv-LV"/>
              </w:rPr>
              <w:t>gadam nesakrīt ar Iekšlietu ministrijai plānoto budžeta apakšprogrammā 71.06.00 "Eiropas Ekonomikas zonas un Norvēģijas finanšu instrumentu finansētie projekti”. Lūdzam precizēt, norādot finansējumu atbilstoši likumam “Par valsts budžetu 2021.gadam” un likumam “Par vidēja termiņa budžeta ietvaru 2021., 2022. un 2023.</w:t>
            </w:r>
            <w:r>
              <w:rPr>
                <w:rFonts w:ascii="Times New Roman" w:hAnsi="Times New Roman"/>
                <w:sz w:val="24"/>
                <w:szCs w:val="24"/>
                <w:lang w:eastAsia="lv-LV"/>
              </w:rPr>
              <w:t> </w:t>
            </w:r>
            <w:r w:rsidRPr="001F4F6A">
              <w:rPr>
                <w:rFonts w:ascii="Times New Roman" w:hAnsi="Times New Roman"/>
                <w:sz w:val="24"/>
                <w:szCs w:val="24"/>
                <w:lang w:eastAsia="lv-LV"/>
              </w:rPr>
              <w:t>gadam”.</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t>Ņemts vērā</w:t>
            </w:r>
          </w:p>
          <w:p w:rsidR="00C53E9C" w:rsidRPr="001F4F6A" w:rsidRDefault="00C53E9C" w:rsidP="00D65EFE">
            <w:pPr>
              <w:jc w:val="both"/>
              <w:rPr>
                <w:bCs/>
              </w:rPr>
            </w:pP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rPr>
                <w:lang w:eastAsia="en-US"/>
              </w:rPr>
              <w:t>Lūdzu skatīt precizēto anotāciju.</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3.</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Anotācijas III sadaļas 6.</w:t>
            </w:r>
            <w:r>
              <w:t> </w:t>
            </w:r>
            <w:r w:rsidRPr="001F4F6A">
              <w:t>punkts, rindkopa</w:t>
            </w:r>
          </w:p>
          <w:p w:rsidR="00C53E9C" w:rsidRPr="001F4F6A" w:rsidRDefault="00C53E9C" w:rsidP="00D65EFE">
            <w:pPr>
              <w:ind w:firstLine="463"/>
              <w:jc w:val="both"/>
            </w:pPr>
            <w:r w:rsidRPr="001F4F6A">
              <w:lastRenderedPageBreak/>
              <w:t>Programmas attiecīgo projektu īstenošanai nepieciešamo valsts budžeta finansējumu normatīvajos aktos noteiktajā kārtībā Iekšlietu ministrija, Finanšu ministrija, Korupcijas novēršanas un apkarošanas birojs, Labklājības ministrija un Tieslietu ministrija pieprasīs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pStyle w:val="ListParagraph"/>
              <w:tabs>
                <w:tab w:val="left" w:pos="851"/>
              </w:tabs>
              <w:spacing w:after="0" w:line="240" w:lineRule="auto"/>
              <w:ind w:left="0" w:firstLine="42"/>
              <w:jc w:val="both"/>
              <w:rPr>
                <w:rFonts w:ascii="Times New Roman" w:hAnsi="Times New Roman"/>
                <w:sz w:val="24"/>
                <w:szCs w:val="24"/>
                <w:lang w:eastAsia="lv-LV"/>
              </w:rPr>
            </w:pPr>
            <w:r w:rsidRPr="001F4F6A">
              <w:rPr>
                <w:rFonts w:ascii="Times New Roman" w:hAnsi="Times New Roman"/>
                <w:sz w:val="24"/>
                <w:szCs w:val="24"/>
                <w:lang w:eastAsia="lv-LV"/>
              </w:rPr>
              <w:lastRenderedPageBreak/>
              <w:t>3. Ņemot vērā, ka anotācijas III sadaļas 6.</w:t>
            </w:r>
            <w:r>
              <w:rPr>
                <w:rFonts w:ascii="Times New Roman" w:hAnsi="Times New Roman"/>
                <w:sz w:val="24"/>
                <w:szCs w:val="24"/>
                <w:lang w:eastAsia="lv-LV"/>
              </w:rPr>
              <w:t> </w:t>
            </w:r>
            <w:r w:rsidRPr="001F4F6A">
              <w:rPr>
                <w:rFonts w:ascii="Times New Roman" w:hAnsi="Times New Roman"/>
                <w:sz w:val="24"/>
                <w:szCs w:val="24"/>
                <w:lang w:eastAsia="lv-LV"/>
              </w:rPr>
              <w:t xml:space="preserve">punktā norādīts, ka papildu nepieciešamo finansējumu attiecīgo projektu īstenošanai </w:t>
            </w:r>
            <w:r w:rsidRPr="001F4F6A">
              <w:rPr>
                <w:rFonts w:ascii="Times New Roman" w:hAnsi="Times New Roman"/>
                <w:sz w:val="24"/>
                <w:szCs w:val="24"/>
                <w:lang w:eastAsia="lv-LV"/>
              </w:rPr>
              <w:lastRenderedPageBreak/>
              <w:t>normatīvajos aktos noteiktajā kārtībā Iekšlietu ministrija, Finanšu ministrija, Korupcijas novēršanas un apkarošanas birojs, Labklājības ministrija un Tieslietu ministrija pieprasīs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lūgums papildināt minēto informāciju ar papildu nepieciešamā finansējuma sadalījumu pa iestādēm un gadiem.</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lastRenderedPageBreak/>
              <w:t>Ņemts vērā</w:t>
            </w:r>
          </w:p>
        </w:tc>
        <w:tc>
          <w:tcPr>
            <w:tcW w:w="3317" w:type="dxa"/>
            <w:tcBorders>
              <w:top w:val="single" w:sz="4" w:space="0" w:color="auto"/>
              <w:left w:val="single" w:sz="4" w:space="0" w:color="auto"/>
              <w:bottom w:val="single" w:sz="4" w:space="0" w:color="auto"/>
            </w:tcBorders>
          </w:tcPr>
          <w:p w:rsidR="00C53E9C" w:rsidRDefault="00C53E9C" w:rsidP="00D65EFE">
            <w:pPr>
              <w:jc w:val="both"/>
            </w:pPr>
            <w:r w:rsidRPr="001F4F6A">
              <w:t>Anotācijas III sadaļas 6.punkts</w:t>
            </w:r>
            <w:r>
              <w:t>, rindkopa</w:t>
            </w:r>
          </w:p>
          <w:p w:rsidR="00C53E9C" w:rsidRDefault="00C53E9C" w:rsidP="00D65EFE">
            <w:pPr>
              <w:ind w:firstLine="463"/>
              <w:jc w:val="both"/>
            </w:pPr>
            <w:r>
              <w:lastRenderedPageBreak/>
              <w:t>Saskaņā ar augstāk tabulās norādīto informāciju:</w:t>
            </w:r>
          </w:p>
          <w:p w:rsidR="00C53E9C" w:rsidRDefault="00C53E9C" w:rsidP="00D65EFE">
            <w:pPr>
              <w:ind w:firstLine="463"/>
              <w:jc w:val="both"/>
            </w:pPr>
            <w:r>
              <w:t xml:space="preserve">1) projekta </w:t>
            </w:r>
            <w:r w:rsidRPr="00B435C8">
              <w:t>“Tiesu ekspertīžu sistēmas un notikumu vietas apskates kapacitātes stiprināšana”</w:t>
            </w:r>
          </w:p>
          <w:p w:rsidR="00C53E9C" w:rsidRDefault="00C53E9C" w:rsidP="00D65EFE">
            <w:pPr>
              <w:ind w:firstLine="463"/>
              <w:jc w:val="both"/>
            </w:pPr>
            <w:r>
              <w:t>2) projekta “</w:t>
            </w:r>
            <w:r w:rsidRPr="00B435C8">
              <w:t>Darbinieku zināšanu pilnveide noziedzīgi iegūtu līdzekļu legalizācijas apkarošanā Latvijā”</w:t>
            </w:r>
          </w:p>
          <w:p w:rsidR="00C53E9C" w:rsidRDefault="00C53E9C" w:rsidP="00D65EFE">
            <w:pPr>
              <w:ind w:firstLine="463"/>
              <w:jc w:val="both"/>
            </w:pPr>
            <w:r>
              <w:t>3)</w:t>
            </w:r>
            <w:r w:rsidRPr="0070733E">
              <w:t xml:space="preserve"> </w:t>
            </w:r>
            <w:r>
              <w:t xml:space="preserve">projekta </w:t>
            </w:r>
            <w:r w:rsidRPr="00B435C8">
              <w:t>“Tiesu</w:t>
            </w:r>
            <w:r w:rsidRPr="0070733E">
              <w:t xml:space="preserve"> ekspertīžu</w:t>
            </w:r>
            <w:r w:rsidRPr="00B435C8">
              <w:t xml:space="preserve"> sistēmas un notikumu vietas apskates kapacitātes stiprināšana”</w:t>
            </w:r>
            <w:r w:rsidRPr="0070733E">
              <w:t xml:space="preserve"> Divpusējās sadarbības fonda iniciatīvas </w:t>
            </w:r>
          </w:p>
          <w:p w:rsidR="00C53E9C" w:rsidRPr="001F4F6A" w:rsidRDefault="00C53E9C" w:rsidP="00D65EFE">
            <w:pPr>
              <w:jc w:val="both"/>
              <w:rPr>
                <w:lang w:eastAsia="en-US"/>
              </w:rPr>
            </w:pPr>
            <w:r>
              <w:t>īstenošanai nepieciešamais valsts budžeta finansējums,</w:t>
            </w:r>
            <w:r w:rsidRPr="005E02E4">
              <w:t xml:space="preserve"> normatīvajos aktos noteiktajā kārtībā</w:t>
            </w:r>
            <w:r>
              <w:t>,</w:t>
            </w:r>
            <w:r w:rsidRPr="005E02E4">
              <w:t xml:space="preserve"> </w:t>
            </w:r>
            <w:r>
              <w:t xml:space="preserve">tiks </w:t>
            </w:r>
            <w:r w:rsidRPr="005E02E4">
              <w:t>pieprasī</w:t>
            </w:r>
            <w:r>
              <w:t>t</w:t>
            </w:r>
            <w:r w:rsidRPr="005E02E4">
              <w:t>s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lastRenderedPageBreak/>
              <w:t xml:space="preserve">4. </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Anotācijas III sadaļa</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pStyle w:val="ListParagraph"/>
              <w:spacing w:after="0" w:line="240" w:lineRule="auto"/>
              <w:ind w:left="0"/>
              <w:jc w:val="both"/>
              <w:rPr>
                <w:rFonts w:ascii="Times New Roman" w:hAnsi="Times New Roman"/>
                <w:szCs w:val="24"/>
                <w:lang w:eastAsia="lv-LV"/>
              </w:rPr>
            </w:pPr>
            <w:r w:rsidRPr="001F4F6A">
              <w:rPr>
                <w:rFonts w:ascii="Times New Roman" w:hAnsi="Times New Roman"/>
                <w:sz w:val="24"/>
              </w:rPr>
              <w:t xml:space="preserve">4. </w:t>
            </w:r>
            <w:r w:rsidRPr="001F4F6A">
              <w:rPr>
                <w:rFonts w:ascii="Times New Roman" w:hAnsi="Times New Roman"/>
                <w:sz w:val="24"/>
                <w:szCs w:val="24"/>
                <w:lang w:eastAsia="lv-LV"/>
              </w:rPr>
              <w:t>Lūdzam precizēt anotācijas VI sadaļas tabulā un tekstā norādīto 1 506 176 </w:t>
            </w:r>
            <w:r w:rsidRPr="001F4F6A">
              <w:rPr>
                <w:rFonts w:ascii="Times New Roman" w:hAnsi="Times New Roman"/>
                <w:i/>
                <w:sz w:val="24"/>
                <w:szCs w:val="24"/>
                <w:lang w:eastAsia="lv-LV"/>
              </w:rPr>
              <w:t>euro</w:t>
            </w:r>
            <w:r w:rsidRPr="001F4F6A">
              <w:rPr>
                <w:rFonts w:ascii="Times New Roman" w:hAnsi="Times New Roman"/>
                <w:sz w:val="24"/>
                <w:szCs w:val="24"/>
                <w:lang w:eastAsia="lv-LV"/>
              </w:rPr>
              <w:t xml:space="preserve"> finansējumu programmas administrēšanai uz 1 305 000 </w:t>
            </w:r>
            <w:r w:rsidRPr="001F4F6A">
              <w:rPr>
                <w:rFonts w:ascii="Times New Roman" w:hAnsi="Times New Roman"/>
                <w:i/>
                <w:iCs/>
                <w:sz w:val="24"/>
                <w:szCs w:val="24"/>
                <w:lang w:eastAsia="lv-LV"/>
              </w:rPr>
              <w:t>euro</w:t>
            </w:r>
            <w:r w:rsidRPr="001F4F6A">
              <w:rPr>
                <w:rFonts w:ascii="Times New Roman" w:hAnsi="Times New Roman"/>
                <w:sz w:val="24"/>
                <w:szCs w:val="24"/>
                <w:lang w:eastAsia="lv-LV"/>
              </w:rPr>
              <w:t xml:space="preserve"> atbilstoši noslēgtajam programmas līgumam.</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t>Ņemts vērā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t>Lūdzu skatīt precizēto anotāciju.</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lastRenderedPageBreak/>
              <w:t>5.</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Anotācija,</w:t>
            </w:r>
          </w:p>
          <w:p w:rsidR="00C53E9C" w:rsidRPr="001F4F6A" w:rsidRDefault="00C53E9C" w:rsidP="00D65EFE">
            <w:pPr>
              <w:jc w:val="both"/>
            </w:pPr>
            <w:r w:rsidRPr="001F4F6A">
              <w:t>Noteikumu projekta 4.</w:t>
            </w:r>
            <w:r>
              <w:t> </w:t>
            </w:r>
            <w:r w:rsidRPr="001F4F6A">
              <w:t>punkts</w:t>
            </w:r>
          </w:p>
          <w:p w:rsidR="00C53E9C" w:rsidRPr="001F4F6A" w:rsidRDefault="00C53E9C" w:rsidP="00D65EFE">
            <w:pPr>
              <w:jc w:val="both"/>
            </w:pPr>
            <w:r w:rsidRPr="001F4F6A">
              <w:t>"12. Programmas apsaimniekotājs nodrošina, ka šo noteikumu 2.1. un 2.3. apakšpunktos minētajām programmas atbalsta jomām, līdz 60 procenti no atbalsta jomai piešķirtā kopējā finansējuma novirzāmi transportlīdzekļu iegādei un būvniecībai, neieskaitot projektēšanu, būvuzraudzību un autoruzraudzību.";</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pStyle w:val="ListParagraph"/>
              <w:spacing w:after="0" w:line="240" w:lineRule="auto"/>
              <w:ind w:left="0"/>
              <w:jc w:val="both"/>
              <w:rPr>
                <w:rFonts w:ascii="Times New Roman" w:hAnsi="Times New Roman"/>
                <w:szCs w:val="24"/>
                <w:lang w:eastAsia="lv-LV"/>
              </w:rPr>
            </w:pPr>
            <w:r w:rsidRPr="001F4F6A">
              <w:rPr>
                <w:rFonts w:ascii="Times New Roman" w:hAnsi="Times New Roman"/>
                <w:sz w:val="24"/>
              </w:rPr>
              <w:t xml:space="preserve">5. </w:t>
            </w:r>
            <w:r w:rsidRPr="001F4F6A">
              <w:rPr>
                <w:rFonts w:ascii="Times New Roman" w:hAnsi="Times New Roman"/>
                <w:sz w:val="24"/>
                <w:szCs w:val="24"/>
                <w:lang w:eastAsia="lv-LV"/>
              </w:rPr>
              <w:t>Lūdzam papildināt anotāciju ar izvērstāku skaidrojumu, t.sk., vai un kā saskaņots ar donorvalstīm, par transportlīdzekļu iegādi projekta “Tiesu ekspertīžu sistēmas un notikumu vietas apskates kapacitātes stiprināšana” īstenošanā zem “cietajām” aktivitātēm (60</w:t>
            </w:r>
            <w:r>
              <w:rPr>
                <w:rFonts w:ascii="Times New Roman" w:hAnsi="Times New Roman"/>
                <w:sz w:val="24"/>
                <w:szCs w:val="24"/>
                <w:lang w:eastAsia="lv-LV"/>
              </w:rPr>
              <w:t> </w:t>
            </w:r>
            <w:r w:rsidRPr="001F4F6A">
              <w:rPr>
                <w:rFonts w:ascii="Times New Roman" w:hAnsi="Times New Roman"/>
                <w:sz w:val="24"/>
                <w:szCs w:val="24"/>
                <w:lang w:eastAsia="lv-LV"/>
              </w:rPr>
              <w:t>%). Kā arī lūdzam izvērtēt un precizēt noteikumu projekta 4.</w:t>
            </w:r>
            <w:r>
              <w:rPr>
                <w:rFonts w:ascii="Times New Roman" w:hAnsi="Times New Roman"/>
                <w:sz w:val="24"/>
                <w:szCs w:val="24"/>
                <w:lang w:eastAsia="lv-LV"/>
              </w:rPr>
              <w:t> </w:t>
            </w:r>
            <w:r w:rsidRPr="001F4F6A">
              <w:rPr>
                <w:rFonts w:ascii="Times New Roman" w:hAnsi="Times New Roman"/>
                <w:sz w:val="24"/>
                <w:szCs w:val="24"/>
                <w:lang w:eastAsia="lv-LV"/>
              </w:rPr>
              <w:t>punktu, jo no tā šobrīd izriet, ka transportlīdzekļu iegāde attiecināma arī uz noteikumu projekta 2.1.atbalsta jomu, proti, arī šo noteikumu 15.1., 15.2., 15.3., 15.4. un 15.5.</w:t>
            </w:r>
            <w:r>
              <w:rPr>
                <w:rFonts w:ascii="Times New Roman" w:hAnsi="Times New Roman"/>
                <w:sz w:val="24"/>
                <w:szCs w:val="24"/>
                <w:lang w:eastAsia="lv-LV"/>
              </w:rPr>
              <w:t> </w:t>
            </w:r>
            <w:r w:rsidRPr="001F4F6A">
              <w:rPr>
                <w:rFonts w:ascii="Times New Roman" w:hAnsi="Times New Roman"/>
                <w:sz w:val="24"/>
                <w:szCs w:val="24"/>
                <w:lang w:eastAsia="lv-LV"/>
              </w:rPr>
              <w:t>apakšpunktā minētajos projektos.</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t>Ņemts vērā</w:t>
            </w:r>
          </w:p>
          <w:p w:rsidR="00C53E9C" w:rsidRPr="001F4F6A" w:rsidRDefault="00C53E9C" w:rsidP="00D65EFE">
            <w:pPr>
              <w:jc w:val="center"/>
              <w:rPr>
                <w:b/>
                <w:bCs/>
              </w:rPr>
            </w:pPr>
          </w:p>
          <w:p w:rsidR="00C53E9C" w:rsidRPr="001F4F6A" w:rsidRDefault="00C53E9C" w:rsidP="00D65EFE">
            <w:pPr>
              <w:jc w:val="both"/>
              <w:rPr>
                <w:bCs/>
              </w:rPr>
            </w:pPr>
            <w:r w:rsidRPr="001F4F6A">
              <w:rPr>
                <w:bCs/>
              </w:rPr>
              <w:t>Sniedzam skaidrojumu, ka sarunas ar donorvalstīm par transportlīdzekļu iegādi projekta “Tiesu ekspertīžu sistēmas un notikumu vietas apskates kapacitātes stiprināšana” un īstenošanu zem “</w:t>
            </w:r>
            <w:r>
              <w:rPr>
                <w:bCs/>
              </w:rPr>
              <w:t>stingrajiem</w:t>
            </w:r>
            <w:r w:rsidRPr="001F4F6A">
              <w:rPr>
                <w:bCs/>
              </w:rPr>
              <w:t xml:space="preserve">” </w:t>
            </w:r>
            <w:r>
              <w:rPr>
                <w:bCs/>
              </w:rPr>
              <w:t>pasākumiem</w:t>
            </w:r>
            <w:r w:rsidRPr="001F4F6A">
              <w:rPr>
                <w:bCs/>
              </w:rPr>
              <w:t xml:space="preserve"> ir notikušas š.g. aprīlī. Pēc notikušajām sarunām, Iekšlietu ministrija sadarbībā ar Tieslietu ministriju sagatavoja un iesniedza Finanšu ministrijai kā programmas vadošajai iestādei priekšlikumu efektīvai rezerves finansējuma izmantošana projekta “Tiesu ekspertīžu sistēmas un notikumu vietas apskates kapacitātes stiprināšana” ietvaros un Finanšu ministrija nodrošināja priekšlikuma saskaņošanu ar Finanšu instrumentu biroju un donoriem. </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rsidRPr="001F4F6A">
              <w:rPr>
                <w:lang w:eastAsia="en-US"/>
              </w:rPr>
              <w:t>Anotācija,</w:t>
            </w:r>
          </w:p>
          <w:p w:rsidR="00C53E9C" w:rsidRPr="001F4F6A" w:rsidRDefault="00C53E9C" w:rsidP="00D65EFE">
            <w:pPr>
              <w:jc w:val="both"/>
              <w:rPr>
                <w:lang w:eastAsia="en-US"/>
              </w:rPr>
            </w:pPr>
            <w:r w:rsidRPr="001F4F6A">
              <w:rPr>
                <w:lang w:eastAsia="en-US"/>
              </w:rPr>
              <w:t>Noteikumu projekta 5.punkts</w:t>
            </w:r>
          </w:p>
          <w:p w:rsidR="00C53E9C" w:rsidRPr="001F4F6A" w:rsidRDefault="00C53E9C" w:rsidP="00D65EFE">
            <w:pPr>
              <w:jc w:val="both"/>
              <w:rPr>
                <w:lang w:eastAsia="en-US"/>
              </w:rPr>
            </w:pPr>
            <w:r w:rsidRPr="001F4F6A">
              <w:rPr>
                <w:lang w:eastAsia="en-US"/>
              </w:rPr>
              <w:t xml:space="preserve">"12. Programmas apsaimniekotājs nodrošina, ka šo noteikumu 2.1. apakšpunktā minētajai atbalsta jomai līdz 60 procenti no atbalsta jomai piešķirtā kopējā finansējuma novirzāmi būvniecībai, neieskaitot projektēšanu, būvuzraudzību un autoruzraudzību un šo noteikumu </w:t>
            </w:r>
            <w:r w:rsidRPr="00565E7F">
              <w:rPr>
                <w:lang w:eastAsia="en-US"/>
              </w:rPr>
              <w:t>2.3. apakšpunktā minētajai programmas atbalsta jomai līdz 60 procenti no atbalsta jomai piešķirtā kopējā finansējuma novirzāmi transportlīdzekļu iegādei.";</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 w:rsidR="00C53E9C" w:rsidRPr="001F4F6A" w:rsidRDefault="00C53E9C" w:rsidP="00D65EFE">
            <w:pPr>
              <w:jc w:val="center"/>
            </w:pPr>
            <w:r w:rsidRPr="001F4F6A">
              <w:t>6.</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Protokollēmuma projekts</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pStyle w:val="ListParagraph"/>
              <w:spacing w:after="0" w:line="240" w:lineRule="auto"/>
              <w:ind w:left="0"/>
              <w:jc w:val="both"/>
              <w:rPr>
                <w:rFonts w:ascii="Times New Roman" w:hAnsi="Times New Roman"/>
                <w:sz w:val="24"/>
                <w:szCs w:val="24"/>
                <w:lang w:eastAsia="lv-LV"/>
              </w:rPr>
            </w:pPr>
            <w:r w:rsidRPr="001F4F6A">
              <w:rPr>
                <w:rFonts w:ascii="Times New Roman" w:hAnsi="Times New Roman"/>
                <w:sz w:val="24"/>
                <w:szCs w:val="24"/>
                <w:lang w:eastAsia="lv-LV"/>
              </w:rPr>
              <w:t>6. Lūdzam precizēt Protokollēmuma projektā:</w:t>
            </w:r>
          </w:p>
          <w:p w:rsidR="00C53E9C" w:rsidRPr="001F4F6A" w:rsidRDefault="00C53E9C" w:rsidP="00D65EFE">
            <w:pPr>
              <w:pStyle w:val="ListParagraph"/>
              <w:spacing w:after="0" w:line="240" w:lineRule="auto"/>
              <w:ind w:left="0"/>
              <w:jc w:val="both"/>
              <w:rPr>
                <w:rFonts w:ascii="Times New Roman" w:hAnsi="Times New Roman"/>
                <w:sz w:val="24"/>
                <w:szCs w:val="24"/>
                <w:lang w:eastAsia="lv-LV"/>
              </w:rPr>
            </w:pPr>
            <w:r w:rsidRPr="001F4F6A">
              <w:rPr>
                <w:rFonts w:ascii="Times New Roman" w:hAnsi="Times New Roman"/>
                <w:sz w:val="24"/>
                <w:szCs w:val="24"/>
                <w:lang w:eastAsia="lv-LV"/>
              </w:rPr>
              <w:t>6.1. 2.</w:t>
            </w:r>
            <w:r>
              <w:rPr>
                <w:rFonts w:ascii="Times New Roman" w:hAnsi="Times New Roman"/>
                <w:sz w:val="24"/>
                <w:szCs w:val="24"/>
                <w:lang w:eastAsia="lv-LV"/>
              </w:rPr>
              <w:t> </w:t>
            </w:r>
            <w:r w:rsidRPr="001F4F6A">
              <w:rPr>
                <w:rFonts w:ascii="Times New Roman" w:hAnsi="Times New Roman"/>
                <w:sz w:val="24"/>
                <w:szCs w:val="24"/>
                <w:lang w:eastAsia="lv-LV"/>
              </w:rPr>
              <w:t>punktā Norvēģijas Karalistes Ārlietu ministrijas vietā norādīt Eiropas Ekonomikas zonas finanšu instrumenta komiteju;</w:t>
            </w:r>
          </w:p>
          <w:p w:rsidR="00C53E9C" w:rsidRPr="001F4F6A" w:rsidRDefault="00C53E9C" w:rsidP="00D65EFE">
            <w:pPr>
              <w:pStyle w:val="ListParagraph"/>
              <w:spacing w:after="0" w:line="240" w:lineRule="auto"/>
              <w:ind w:left="0"/>
              <w:jc w:val="both"/>
              <w:rPr>
                <w:rFonts w:ascii="Times New Roman" w:hAnsi="Times New Roman"/>
                <w:sz w:val="24"/>
                <w:szCs w:val="24"/>
                <w:lang w:eastAsia="lv-LV"/>
              </w:rPr>
            </w:pPr>
            <w:r w:rsidRPr="001F4F6A">
              <w:rPr>
                <w:rFonts w:ascii="Times New Roman" w:hAnsi="Times New Roman"/>
                <w:sz w:val="24"/>
                <w:szCs w:val="24"/>
                <w:lang w:eastAsia="lv-LV"/>
              </w:rPr>
              <w:t>6.2. 3.</w:t>
            </w:r>
            <w:r>
              <w:rPr>
                <w:rFonts w:ascii="Times New Roman" w:hAnsi="Times New Roman"/>
                <w:sz w:val="24"/>
                <w:szCs w:val="24"/>
                <w:lang w:eastAsia="lv-LV"/>
              </w:rPr>
              <w:t> </w:t>
            </w:r>
            <w:r w:rsidRPr="001F4F6A">
              <w:rPr>
                <w:rFonts w:ascii="Times New Roman" w:hAnsi="Times New Roman"/>
                <w:sz w:val="24"/>
                <w:szCs w:val="24"/>
                <w:lang w:eastAsia="lv-LV"/>
              </w:rPr>
              <w:t xml:space="preserve">punktā atsaukties arī uz saprašanās memorandu, kas noslēgts ar Norvēģijas </w:t>
            </w:r>
            <w:r w:rsidRPr="001F4F6A">
              <w:rPr>
                <w:rFonts w:ascii="Times New Roman" w:hAnsi="Times New Roman"/>
                <w:sz w:val="24"/>
                <w:szCs w:val="24"/>
                <w:lang w:eastAsia="lv-LV"/>
              </w:rPr>
              <w:lastRenderedPageBreak/>
              <w:t xml:space="preserve">Karalisti, jo rezerves finansējuma piešķirtie 171 000 </w:t>
            </w:r>
            <w:r w:rsidRPr="001F4F6A">
              <w:rPr>
                <w:rFonts w:ascii="Times New Roman" w:hAnsi="Times New Roman"/>
                <w:i/>
                <w:iCs/>
                <w:sz w:val="24"/>
                <w:szCs w:val="24"/>
                <w:lang w:eastAsia="lv-LV"/>
              </w:rPr>
              <w:t xml:space="preserve">euro </w:t>
            </w:r>
            <w:r w:rsidRPr="001F4F6A">
              <w:rPr>
                <w:rFonts w:ascii="Times New Roman" w:hAnsi="Times New Roman"/>
                <w:sz w:val="24"/>
                <w:szCs w:val="24"/>
                <w:lang w:eastAsia="lv-LV"/>
              </w:rPr>
              <w:t>ir NFI finansējums un nepieciešams grozīt abus saprašanās memorandus.</w:t>
            </w:r>
          </w:p>
          <w:p w:rsidR="00C53E9C" w:rsidRPr="001F4F6A" w:rsidRDefault="00C53E9C" w:rsidP="00D65EFE">
            <w:pPr>
              <w:pStyle w:val="ListParagraph"/>
              <w:spacing w:after="0" w:line="240" w:lineRule="auto"/>
              <w:ind w:left="0"/>
              <w:jc w:val="both"/>
              <w:rPr>
                <w:rFonts w:ascii="Times New Roman" w:hAnsi="Times New Roman"/>
                <w:sz w:val="24"/>
                <w:szCs w:val="24"/>
                <w:lang w:eastAsia="lv-LV"/>
              </w:rPr>
            </w:pPr>
            <w:r w:rsidRPr="001F4F6A">
              <w:rPr>
                <w:rFonts w:ascii="Times New Roman" w:hAnsi="Times New Roman"/>
                <w:sz w:val="24"/>
                <w:szCs w:val="24"/>
                <w:lang w:eastAsia="lv-LV"/>
              </w:rPr>
              <w:t>6.3. lai nodrošinātu skaidru MK atbalstu DSF finansējuma novirzīšanai programmas jomas konkrētai DSF iniciatīvai, lūdzam papildināt protokollēmumu ar papildus punktu, piemēram, šādā redakcijā: “</w:t>
            </w:r>
            <w:bookmarkStart w:id="4" w:name="_Hlk82613809"/>
            <w:r w:rsidRPr="001F4F6A">
              <w:rPr>
                <w:rFonts w:ascii="Times New Roman" w:hAnsi="Times New Roman"/>
                <w:sz w:val="24"/>
                <w:szCs w:val="24"/>
                <w:lang w:eastAsia="lv-LV"/>
              </w:rPr>
              <w:t xml:space="preserve">Ņemot vērā Iekšlietu ministrijas sniegto informāciju, atbalstīt Norvēģijas finanšu instrumenta 171 000 </w:t>
            </w:r>
            <w:r w:rsidRPr="001F4F6A">
              <w:rPr>
                <w:rFonts w:ascii="Times New Roman" w:hAnsi="Times New Roman"/>
                <w:i/>
                <w:iCs/>
                <w:sz w:val="24"/>
                <w:szCs w:val="24"/>
                <w:lang w:eastAsia="lv-LV"/>
              </w:rPr>
              <w:t>euro</w:t>
            </w:r>
            <w:r w:rsidRPr="001F4F6A">
              <w:rPr>
                <w:rFonts w:ascii="Times New Roman" w:hAnsi="Times New Roman"/>
                <w:sz w:val="24"/>
                <w:szCs w:val="24"/>
                <w:lang w:eastAsia="lv-LV"/>
              </w:rPr>
              <w:t xml:space="preserve"> ar 100 % donorvalstu finansējumu izmantošanu programmas "Starptautiskā policijas sadarbība un noziedzības apkarošana" Divpusējās sadarbības fonda iniciatīvas īstenošanai saistībā ar projektu "Tiesu ekspertīžu sistēmas un notikumu vietas apskates kapacitātes stiprināšana" mērķu sasniegšanai.”</w:t>
            </w:r>
            <w:bookmarkEnd w:id="4"/>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lastRenderedPageBreak/>
              <w:t>Ņemts vērā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rsidRPr="001F4F6A">
              <w:rPr>
                <w:lang w:eastAsia="en-US"/>
              </w:rPr>
              <w:t>Lūdzu skatīt precizēto protokollēmuma projektu.</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EB075A" w:rsidRDefault="00C53E9C" w:rsidP="00D65EFE"/>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Anotācija, pavadvēstule</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rPr>
                <w:bCs/>
              </w:rPr>
            </w:pPr>
            <w:r w:rsidRPr="001F4F6A">
              <w:rPr>
                <w:bCs/>
              </w:rPr>
              <w:t>Priekšlikumi:</w:t>
            </w:r>
          </w:p>
          <w:p w:rsidR="00C53E9C" w:rsidRPr="001F4F6A" w:rsidRDefault="00C53E9C" w:rsidP="00D65EFE">
            <w:pPr>
              <w:jc w:val="both"/>
            </w:pPr>
            <w:r w:rsidRPr="001F4F6A">
              <w:t xml:space="preserve">1. Lūdzam precizēt noteikumu projekta anotāciju kā arī pavadvēstuli norādot, ka grozījumi paredzēti Latvijas Republikas un Īslandes, Lihtenšteinas Firstistes un Norvēģijas Karalistes saprašanās memoranda par Eiropas Ekonomikas zonas finanšu instrumenta ieviešanu 2014.–2021. gadā (pieņemts un apstiprināts ar Ministru kabineta 2017. gada 5. decembra noteikumiem Nr. 712 “Par Latvijas Republikas un Īslandes, Lihtenšteinas Firstistes un Norvēģijas Karalistes saprašanās memorandu par Eiropas </w:t>
            </w:r>
            <w:r w:rsidRPr="001F4F6A">
              <w:lastRenderedPageBreak/>
              <w:t>Ekonomikas zonas instrumenta ieviešanu 2014.–2021. gadā”) B pielikumā, nevis pašā saprašanās memorandā.</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lastRenderedPageBreak/>
              <w:t>Ņemts vērā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rsidRPr="001F4F6A">
              <w:rPr>
                <w:lang w:eastAsia="en-US"/>
              </w:rPr>
              <w:t>Lūdzu skatīt precizēto anotāciju un pavadvēstuli</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7.</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Anotācija</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2. Lūdzam papildināt anotāciju ar pamatojumu tam, kāpēc tai ir pievienots programmas “Starptautiskā policijas sadarbība un noziedzības apkarošana” pilns koncepcijas projekts nevis tikai izmaiņas (piemēram, informatīvos nolūkos, lai uzskatāmi parādītu izmaiņas pret sākotnēji MK iesniegto rezerves piedāvājuma sadalījumu), kurš ir papildināts ar jaunu informāciju par EEZ FI un NFI rezerves finansējuma izmantošanu.</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t>Ņemts vērā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rsidRPr="001F4F6A">
              <w:rPr>
                <w:lang w:eastAsia="en-US"/>
              </w:rPr>
              <w:t>Lūdzu skatīt precizēto anotāciju</w:t>
            </w:r>
            <w:r>
              <w:rPr>
                <w:lang w:eastAsia="en-US"/>
              </w:rPr>
              <w:t>.</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8.</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Protokollēmuma projekts, anotācija</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r w:rsidRPr="001F4F6A">
              <w:t>3. Lūdzam protokollēmuma 2. un 3.</w:t>
            </w:r>
            <w:r>
              <w:t> </w:t>
            </w:r>
            <w:r w:rsidRPr="001F4F6A">
              <w:t>punktā aizstāt vārdus “programmas vadošajai” ar vārdiem “Eiropas Ekonomikas zonas finanšu instrumenta un Norvēģijas finanšu instrumenta vadošajai”, lietojot Eiropas Ekonomikas zonas finanšu instrumenta un Norvēģijas finanšu instrumenta 2014.—2021.</w:t>
            </w:r>
            <w:r>
              <w:t> </w:t>
            </w:r>
            <w:r w:rsidRPr="001F4F6A">
              <w:t>gada perioda vadības likumā noteikto terminoloģiju. Attiecīgi lūdzam precizēt arī anotāciju.</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t>Ņemts vērā</w:t>
            </w:r>
          </w:p>
        </w:tc>
        <w:tc>
          <w:tcPr>
            <w:tcW w:w="3317" w:type="dxa"/>
            <w:tcBorders>
              <w:top w:val="single" w:sz="4" w:space="0" w:color="auto"/>
              <w:left w:val="single" w:sz="4" w:space="0" w:color="auto"/>
              <w:bottom w:val="single" w:sz="4" w:space="0" w:color="auto"/>
            </w:tcBorders>
          </w:tcPr>
          <w:p w:rsidR="00C53E9C" w:rsidRPr="00EB075A" w:rsidRDefault="00C53E9C" w:rsidP="00D65EFE">
            <w:pPr>
              <w:jc w:val="both"/>
              <w:rPr>
                <w:lang w:eastAsia="en-US"/>
              </w:rPr>
            </w:pPr>
            <w:r w:rsidRPr="001F4F6A">
              <w:rPr>
                <w:lang w:eastAsia="en-US"/>
              </w:rPr>
              <w:t>Lūdzu skatīt precizēto protokollēmuma projektu un anotāciju.</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B07F43" w:rsidRDefault="00C53E9C" w:rsidP="00D65EFE">
            <w:pPr>
              <w:jc w:val="center"/>
            </w:pPr>
            <w:r w:rsidRPr="00B07F43">
              <w:t>9.</w:t>
            </w:r>
          </w:p>
        </w:tc>
        <w:tc>
          <w:tcPr>
            <w:tcW w:w="2977" w:type="dxa"/>
            <w:tcBorders>
              <w:top w:val="single" w:sz="4" w:space="0" w:color="auto"/>
              <w:left w:val="single" w:sz="4" w:space="0" w:color="auto"/>
              <w:bottom w:val="single" w:sz="4" w:space="0" w:color="auto"/>
              <w:right w:val="single" w:sz="4" w:space="0" w:color="auto"/>
            </w:tcBorders>
          </w:tcPr>
          <w:p w:rsidR="00C53E9C" w:rsidRPr="00B07F43" w:rsidRDefault="00C53E9C" w:rsidP="00D65EFE">
            <w:pPr>
              <w:jc w:val="both"/>
            </w:pPr>
            <w:r w:rsidRPr="00B07F43">
              <w:t>Anotācija</w:t>
            </w:r>
          </w:p>
        </w:tc>
        <w:tc>
          <w:tcPr>
            <w:tcW w:w="4394" w:type="dxa"/>
            <w:tcBorders>
              <w:top w:val="single" w:sz="4" w:space="0" w:color="auto"/>
              <w:left w:val="single" w:sz="4" w:space="0" w:color="auto"/>
              <w:bottom w:val="single" w:sz="4" w:space="0" w:color="auto"/>
              <w:right w:val="single" w:sz="4" w:space="0" w:color="auto"/>
            </w:tcBorders>
          </w:tcPr>
          <w:p w:rsidR="00C53E9C" w:rsidRPr="00B07F43" w:rsidRDefault="00C53E9C" w:rsidP="00D65EFE">
            <w:pPr>
              <w:shd w:val="clear" w:color="auto" w:fill="FFFFFF"/>
              <w:jc w:val="center"/>
              <w:rPr>
                <w:rFonts w:eastAsia="Calibri"/>
                <w:b/>
                <w:lang w:eastAsia="en-US"/>
              </w:rPr>
            </w:pPr>
            <w:r w:rsidRPr="00B07F43">
              <w:rPr>
                <w:rFonts w:eastAsia="Calibri"/>
                <w:b/>
                <w:lang w:eastAsia="en-US"/>
              </w:rPr>
              <w:t>Tieslietu ministrija</w:t>
            </w:r>
          </w:p>
          <w:p w:rsidR="00C53E9C" w:rsidRPr="00B07F43" w:rsidRDefault="00C53E9C" w:rsidP="00D65EFE">
            <w:pPr>
              <w:shd w:val="clear" w:color="auto" w:fill="FFFFFF"/>
              <w:jc w:val="both"/>
            </w:pPr>
            <w:r w:rsidRPr="00B07F43">
              <w:rPr>
                <w:rFonts w:eastAsia="Calibri"/>
                <w:lang w:eastAsia="en-US"/>
              </w:rPr>
              <w:t xml:space="preserve">1. No noteikumu projekta anotācijas un tam pievienotā Ministru kabineta sēdes protokollēmuma projekta (turpmāk – lēmuma projekts) izriet, ka noteikumu projektā iekļauts cita starpā tiesiskais regulējums, kas šobrīd neatbilst 2019. gada 4. decembra Līgumam par Eiropas Ekonomikas zonas finanšu instrumenta 2014.–2021. gada perioda programmas </w:t>
            </w:r>
            <w:r w:rsidRPr="00B07F43">
              <w:rPr>
                <w:rFonts w:eastAsia="Calibri"/>
                <w:lang w:eastAsia="en-US"/>
              </w:rPr>
              <w:lastRenderedPageBreak/>
              <w:t xml:space="preserve">īstenošanu (turpmāk – programmas līgums) un "Saprašanās memorandam par Eiropas Ekonomikas zonas finanšu instrumenta ieviešanu 2014.-2021. gadā", kas noslēgts starp Latvijas Republiku un Islandi, Lihtenšteinas Firstisti, Norvēģijas Karalisti (turpmāk – saprašanās memorands). Tātad secināms, ja noteikumu projekts stāsies spēkā pirms attiecīgo grozījumu programmas līgumā un saprašanās memorandā spēkā stāšanās, pastāv neatbilstošu izdevumu rašanās iespēja un nepieciešamība atkārtoti izdarīt grozījumus Ministru kabineta 2020. gada 11. februāra noteikumos Nr. 91 "Eiropas Ekonomikas zonas finanšu instrumenta 2014.–2021. gada perioda programmas "Starptautiskā policijas sadarbība un noziedzības apkarošana" īstenošanas noteikumi" (turpmāk – noteikumi Nr. 91). Ievērojot minēto, lūdzam izvērtēt iespēju noteikumu projektā ietverto tiesisko regulējumu, ciktāl tas ir pretējs programmas līgumam un saprašanās memorandam, virzīt apstiprināšanai Ministru kabinetā vienīgi pēc grozījumu programmas līgumā un saprašanās memorandā spēkā stāšanās (attiecīgo regulējumu noteikumu projektā svītrojot un šobrīd virzot vienīgi noteikumu projekta ietverto regulējumu, kas nav saistīts ar grozījumiem programmas līgumā un saprašanās memorandā) vai alternatīvi lūdzam saskaņā ar Ministru kabineta 2009. gada 3. februāra noteikumu Nr. 108 </w:t>
            </w:r>
            <w:r w:rsidRPr="00B07F43">
              <w:rPr>
                <w:rFonts w:eastAsia="Calibri"/>
                <w:lang w:eastAsia="en-US"/>
              </w:rPr>
              <w:lastRenderedPageBreak/>
              <w:t>"Normatīvo aktu projektu sagatavošanas noteikumi" 138. punktu paredzēt atsevišķu noteikumu projekta normu spēkā stāšanās termiņu un lēmuma projektā atrunāt atbildīgo institūciju uzdevumus gadījumā, ja programmas līguma vai saprašanās memoranda grozījumi netiks parakstīti (proti, grozījumi netiks saskaņoti).</w:t>
            </w:r>
          </w:p>
        </w:tc>
        <w:tc>
          <w:tcPr>
            <w:tcW w:w="3261" w:type="dxa"/>
            <w:tcBorders>
              <w:top w:val="single" w:sz="4" w:space="0" w:color="auto"/>
              <w:left w:val="single" w:sz="4" w:space="0" w:color="auto"/>
              <w:bottom w:val="single" w:sz="4" w:space="0" w:color="auto"/>
              <w:right w:val="single" w:sz="4" w:space="0" w:color="auto"/>
            </w:tcBorders>
          </w:tcPr>
          <w:p w:rsidR="00C53E9C" w:rsidRDefault="00C53E9C" w:rsidP="00D65EFE">
            <w:pPr>
              <w:jc w:val="center"/>
              <w:rPr>
                <w:b/>
                <w:bCs/>
              </w:rPr>
            </w:pPr>
            <w:r>
              <w:rPr>
                <w:b/>
                <w:bCs/>
              </w:rPr>
              <w:lastRenderedPageBreak/>
              <w:t>Ņemts vērā</w:t>
            </w:r>
          </w:p>
          <w:p w:rsidR="00C53E9C" w:rsidRPr="00322972" w:rsidRDefault="00C53E9C" w:rsidP="00D65EFE">
            <w:pPr>
              <w:jc w:val="both"/>
              <w:rPr>
                <w:bCs/>
                <w:szCs w:val="28"/>
              </w:rPr>
            </w:pPr>
            <w:r w:rsidRPr="00322972">
              <w:rPr>
                <w:bCs/>
                <w:szCs w:val="28"/>
              </w:rPr>
              <w:t>Noteikumu projekts ir precizēts, iekļaujot papildus normu</w:t>
            </w:r>
            <w:r>
              <w:rPr>
                <w:bCs/>
                <w:szCs w:val="28"/>
              </w:rPr>
              <w:t xml:space="preserve"> </w:t>
            </w:r>
            <w:r w:rsidRPr="00322972">
              <w:rPr>
                <w:bCs/>
                <w:szCs w:val="28"/>
              </w:rPr>
              <w:t>par atsevišķu noteikumu projekta normu spēkā stāšanās termiņu.</w:t>
            </w:r>
          </w:p>
          <w:p w:rsidR="00C53E9C" w:rsidRDefault="00C53E9C" w:rsidP="00D65EFE">
            <w:pPr>
              <w:jc w:val="both"/>
              <w:rPr>
                <w:bCs/>
                <w:szCs w:val="28"/>
              </w:rPr>
            </w:pPr>
            <w:r w:rsidRPr="00322972">
              <w:rPr>
                <w:bCs/>
                <w:szCs w:val="28"/>
              </w:rPr>
              <w:t>Attiecīgi ir precizēta arī noteikumu projekta anotācija.</w:t>
            </w:r>
          </w:p>
          <w:p w:rsidR="00C53E9C" w:rsidRPr="00E74718" w:rsidRDefault="00C53E9C" w:rsidP="00D65EFE">
            <w:pPr>
              <w:jc w:val="both"/>
              <w:rPr>
                <w:bCs/>
              </w:rPr>
            </w:pPr>
            <w:r>
              <w:rPr>
                <w:bCs/>
              </w:rPr>
              <w:t>Tādējādi</w:t>
            </w:r>
            <w:r w:rsidRPr="00B94739">
              <w:rPr>
                <w:bCs/>
              </w:rPr>
              <w:t xml:space="preserve"> protokollēmuma projektā nav nepieciešams </w:t>
            </w:r>
            <w:r w:rsidRPr="00B94739">
              <w:rPr>
                <w:bCs/>
              </w:rPr>
              <w:lastRenderedPageBreak/>
              <w:t>papildu atrunāt atbildīgo institūciju uzdevumus gadījumā, ja programmas līguma vai saprašanās memoranda grozījumi netiks parakstīti (proti, grozījumi netiks saskaņoti).</w:t>
            </w:r>
          </w:p>
        </w:tc>
        <w:tc>
          <w:tcPr>
            <w:tcW w:w="3317" w:type="dxa"/>
            <w:tcBorders>
              <w:top w:val="single" w:sz="4" w:space="0" w:color="auto"/>
              <w:left w:val="single" w:sz="4" w:space="0" w:color="auto"/>
              <w:bottom w:val="single" w:sz="4" w:space="0" w:color="auto"/>
            </w:tcBorders>
          </w:tcPr>
          <w:p w:rsidR="00C53E9C" w:rsidRDefault="00C53E9C" w:rsidP="00D65EFE">
            <w:pPr>
              <w:pStyle w:val="ListParagraph"/>
              <w:tabs>
                <w:tab w:val="left" w:pos="993"/>
              </w:tabs>
              <w:spacing w:after="0" w:line="240" w:lineRule="auto"/>
              <w:ind w:left="36"/>
              <w:jc w:val="both"/>
              <w:rPr>
                <w:rFonts w:ascii="Times New Roman" w:hAnsi="Times New Roman"/>
                <w:color w:val="000000"/>
                <w:sz w:val="24"/>
                <w:szCs w:val="28"/>
                <w:lang w:eastAsia="lv-LV"/>
              </w:rPr>
            </w:pPr>
            <w:r>
              <w:rPr>
                <w:rFonts w:ascii="Times New Roman" w:hAnsi="Times New Roman"/>
                <w:color w:val="000000"/>
                <w:sz w:val="24"/>
                <w:szCs w:val="28"/>
                <w:lang w:eastAsia="lv-LV"/>
              </w:rPr>
              <w:lastRenderedPageBreak/>
              <w:t>Noteikumu projekts</w:t>
            </w:r>
          </w:p>
          <w:p w:rsidR="00C53E9C" w:rsidRDefault="00C53E9C" w:rsidP="00D65EFE">
            <w:pPr>
              <w:pStyle w:val="ListParagraph"/>
              <w:tabs>
                <w:tab w:val="left" w:pos="993"/>
              </w:tabs>
              <w:spacing w:after="0" w:line="240" w:lineRule="auto"/>
              <w:ind w:left="36"/>
              <w:jc w:val="both"/>
              <w:rPr>
                <w:rFonts w:ascii="Times New Roman" w:hAnsi="Times New Roman"/>
                <w:color w:val="000000"/>
                <w:sz w:val="24"/>
                <w:szCs w:val="28"/>
                <w:lang w:eastAsia="lv-LV"/>
              </w:rPr>
            </w:pPr>
          </w:p>
          <w:p w:rsidR="00C53E9C" w:rsidRPr="00E74718" w:rsidRDefault="00C53E9C" w:rsidP="00D65EFE">
            <w:pPr>
              <w:pStyle w:val="ListParagraph"/>
              <w:tabs>
                <w:tab w:val="left" w:pos="993"/>
              </w:tabs>
              <w:spacing w:after="0" w:line="240" w:lineRule="auto"/>
              <w:ind w:left="36"/>
              <w:jc w:val="both"/>
              <w:rPr>
                <w:rFonts w:ascii="Times New Roman" w:hAnsi="Times New Roman"/>
                <w:color w:val="000000"/>
                <w:sz w:val="24"/>
                <w:szCs w:val="28"/>
                <w:lang w:eastAsia="lv-LV"/>
              </w:rPr>
            </w:pPr>
            <w:r w:rsidRPr="00E74718">
              <w:rPr>
                <w:rFonts w:ascii="Times New Roman" w:hAnsi="Times New Roman"/>
                <w:color w:val="000000"/>
                <w:sz w:val="24"/>
                <w:szCs w:val="28"/>
                <w:lang w:eastAsia="lv-LV"/>
              </w:rPr>
              <w:t>12. papildināt noteikumus ar V nodaļu šādā redakcijā:</w:t>
            </w:r>
          </w:p>
          <w:p w:rsidR="00C53E9C" w:rsidRPr="00E74718" w:rsidRDefault="00C53E9C" w:rsidP="00D65EFE">
            <w:pPr>
              <w:pStyle w:val="ListParagraph"/>
              <w:tabs>
                <w:tab w:val="left" w:pos="993"/>
              </w:tabs>
              <w:spacing w:after="0" w:line="240" w:lineRule="auto"/>
              <w:ind w:hanging="720"/>
              <w:jc w:val="center"/>
              <w:rPr>
                <w:rFonts w:ascii="Times New Roman" w:hAnsi="Times New Roman"/>
                <w:sz w:val="24"/>
                <w:szCs w:val="28"/>
                <w:lang w:eastAsia="lv-LV"/>
              </w:rPr>
            </w:pPr>
            <w:r w:rsidRPr="00E74718">
              <w:rPr>
                <w:rFonts w:ascii="Times New Roman" w:hAnsi="Times New Roman"/>
                <w:color w:val="000000"/>
                <w:sz w:val="24"/>
                <w:szCs w:val="28"/>
                <w:lang w:eastAsia="lv-LV"/>
              </w:rPr>
              <w:t>“</w:t>
            </w:r>
            <w:r w:rsidRPr="00E74718">
              <w:rPr>
                <w:rFonts w:ascii="Times New Roman" w:hAnsi="Times New Roman"/>
                <w:b/>
                <w:color w:val="000000"/>
                <w:sz w:val="24"/>
                <w:szCs w:val="28"/>
                <w:lang w:eastAsia="lv-LV"/>
              </w:rPr>
              <w:t>V</w:t>
            </w:r>
            <w:r>
              <w:rPr>
                <w:rFonts w:ascii="Times New Roman" w:hAnsi="Times New Roman"/>
                <w:b/>
                <w:color w:val="000000"/>
                <w:sz w:val="24"/>
                <w:szCs w:val="28"/>
                <w:lang w:eastAsia="lv-LV"/>
              </w:rPr>
              <w:t>.</w:t>
            </w:r>
            <w:r w:rsidRPr="00E74718">
              <w:rPr>
                <w:rFonts w:ascii="Times New Roman" w:hAnsi="Times New Roman"/>
                <w:b/>
                <w:color w:val="000000"/>
                <w:sz w:val="24"/>
                <w:szCs w:val="28"/>
                <w:lang w:eastAsia="lv-LV"/>
              </w:rPr>
              <w:t xml:space="preserve"> Noslēguma jautājums</w:t>
            </w:r>
          </w:p>
          <w:p w:rsidR="00C53E9C" w:rsidRPr="00E74718" w:rsidRDefault="00C53E9C" w:rsidP="00D65EFE">
            <w:pPr>
              <w:pStyle w:val="ListParagraph"/>
              <w:tabs>
                <w:tab w:val="left" w:pos="993"/>
              </w:tabs>
              <w:spacing w:after="0" w:line="240" w:lineRule="auto"/>
              <w:jc w:val="both"/>
              <w:rPr>
                <w:rFonts w:ascii="Times New Roman" w:hAnsi="Times New Roman"/>
                <w:sz w:val="24"/>
                <w:szCs w:val="28"/>
                <w:lang w:eastAsia="lv-LV"/>
              </w:rPr>
            </w:pPr>
          </w:p>
          <w:p w:rsidR="00C53E9C" w:rsidRPr="00E74718" w:rsidRDefault="00C53E9C" w:rsidP="00D65EFE">
            <w:pPr>
              <w:pStyle w:val="ListParagraph"/>
              <w:spacing w:after="0" w:line="240" w:lineRule="auto"/>
              <w:ind w:left="0"/>
              <w:jc w:val="both"/>
              <w:rPr>
                <w:rFonts w:ascii="Times New Roman" w:hAnsi="Times New Roman"/>
                <w:sz w:val="24"/>
                <w:szCs w:val="28"/>
                <w:lang w:eastAsia="lv-LV"/>
              </w:rPr>
            </w:pPr>
            <w:r w:rsidRPr="00E74718">
              <w:rPr>
                <w:rFonts w:ascii="Times New Roman" w:hAnsi="Times New Roman"/>
                <w:sz w:val="24"/>
                <w:szCs w:val="28"/>
                <w:lang w:eastAsia="lv-LV"/>
              </w:rPr>
              <w:t xml:space="preserve">38. Grozījumi attiecībā uz šo noteikumu </w:t>
            </w:r>
            <w:r w:rsidRPr="00E74718">
              <w:rPr>
                <w:rFonts w:ascii="Times New Roman" w:hAnsi="Times New Roman"/>
                <w:sz w:val="24"/>
                <w:szCs w:val="24"/>
              </w:rPr>
              <w:t>papildināšanu ar</w:t>
            </w:r>
            <w:r w:rsidRPr="00E74718">
              <w:rPr>
                <w:rFonts w:ascii="Times New Roman" w:hAnsi="Times New Roman"/>
                <w:sz w:val="24"/>
                <w:szCs w:val="28"/>
                <w:lang w:eastAsia="lv-LV"/>
              </w:rPr>
              <w:t xml:space="preserve"> </w:t>
            </w:r>
            <w:r w:rsidRPr="00E74718">
              <w:rPr>
                <w:rFonts w:ascii="Times New Roman" w:hAnsi="Times New Roman"/>
                <w:sz w:val="24"/>
                <w:szCs w:val="24"/>
              </w:rPr>
              <w:t>2.3.apakšpunktu,</w:t>
            </w:r>
            <w:r>
              <w:rPr>
                <w:rFonts w:ascii="Times New Roman" w:hAnsi="Times New Roman"/>
                <w:sz w:val="24"/>
                <w:szCs w:val="24"/>
              </w:rPr>
              <w:t xml:space="preserve"> </w:t>
            </w:r>
            <w:r w:rsidRPr="00E74718">
              <w:rPr>
                <w:rFonts w:ascii="Times New Roman" w:hAnsi="Times New Roman"/>
                <w:sz w:val="24"/>
                <w:szCs w:val="24"/>
              </w:rPr>
              <w:t>15.7.apakšpunktu, 21.</w:t>
            </w:r>
            <w:r w:rsidRPr="00E74718">
              <w:rPr>
                <w:rFonts w:ascii="Times New Roman" w:hAnsi="Times New Roman"/>
                <w:sz w:val="24"/>
                <w:szCs w:val="24"/>
                <w:vertAlign w:val="superscript"/>
              </w:rPr>
              <w:t>1</w:t>
            </w:r>
            <w:r w:rsidRPr="00E74718">
              <w:rPr>
                <w:rFonts w:ascii="Times New Roman" w:hAnsi="Times New Roman"/>
                <w:sz w:val="24"/>
                <w:szCs w:val="24"/>
              </w:rPr>
              <w:t xml:space="preserve"> punktu, </w:t>
            </w:r>
            <w:r w:rsidRPr="00E74718">
              <w:rPr>
                <w:rFonts w:ascii="Times New Roman" w:hAnsi="Times New Roman"/>
                <w:sz w:val="24"/>
                <w:szCs w:val="24"/>
              </w:rPr>
              <w:lastRenderedPageBreak/>
              <w:t>22.</w:t>
            </w:r>
            <w:r w:rsidRPr="00E74718">
              <w:rPr>
                <w:rFonts w:ascii="Times New Roman" w:hAnsi="Times New Roman"/>
                <w:sz w:val="24"/>
                <w:szCs w:val="24"/>
                <w:vertAlign w:val="superscript"/>
              </w:rPr>
              <w:t>1</w:t>
            </w:r>
            <w:r w:rsidRPr="00E74718">
              <w:rPr>
                <w:rFonts w:ascii="Times New Roman" w:hAnsi="Times New Roman"/>
                <w:sz w:val="24"/>
                <w:szCs w:val="24"/>
              </w:rPr>
              <w:t xml:space="preserve"> punktu, 24.8.</w:t>
            </w:r>
            <w:r w:rsidRPr="00E74718">
              <w:rPr>
                <w:rFonts w:ascii="Times New Roman" w:hAnsi="Times New Roman"/>
                <w:sz w:val="24"/>
                <w:szCs w:val="24"/>
                <w:vertAlign w:val="superscript"/>
              </w:rPr>
              <w:t xml:space="preserve">1 </w:t>
            </w:r>
            <w:r w:rsidRPr="00E74718">
              <w:rPr>
                <w:rFonts w:ascii="Times New Roman" w:hAnsi="Times New Roman"/>
                <w:sz w:val="24"/>
                <w:szCs w:val="24"/>
              </w:rPr>
              <w:t>apakšpunktu, šo noteikumu 5.</w:t>
            </w:r>
            <w:r>
              <w:rPr>
                <w:rFonts w:ascii="Times New Roman" w:hAnsi="Times New Roman"/>
                <w:sz w:val="24"/>
                <w:szCs w:val="24"/>
              </w:rPr>
              <w:t> </w:t>
            </w:r>
            <w:r w:rsidRPr="00E74718">
              <w:rPr>
                <w:rFonts w:ascii="Times New Roman" w:hAnsi="Times New Roman"/>
                <w:sz w:val="24"/>
                <w:szCs w:val="24"/>
              </w:rPr>
              <w:t>punkta, 12. punkta izteikšanu jaunā redakcijā un šo noteikumu pielikuma papildināšana ar aili 1.7. iznākums</w:t>
            </w:r>
            <w:r w:rsidRPr="00E74718">
              <w:rPr>
                <w:rFonts w:ascii="Times New Roman" w:hAnsi="Times New Roman"/>
                <w:sz w:val="24"/>
                <w:szCs w:val="28"/>
                <w:lang w:eastAsia="lv-LV"/>
              </w:rPr>
              <w:t xml:space="preserve"> stājas spēkā līdz ar grozījumu attiecīgajā līgumā par Eiropas Ekonomikas zonas finanšu instrumenta 2014.–2021. gada perioda programmas īstenošanu (turpmāk – programmas līgums) stāšanos spēkā. Pēc grozījumu programmas līgumā saņemšanas no vadošās iestādes, programmas apsaimniekotājs publicē attiecīgu paziņojumu oficiālajā izdevumā “Latvijas Vēstnesis”.”;</w:t>
            </w:r>
          </w:p>
          <w:p w:rsidR="00C53E9C" w:rsidRPr="00E74718" w:rsidRDefault="00C53E9C" w:rsidP="00D65EFE">
            <w:pPr>
              <w:jc w:val="both"/>
              <w:rPr>
                <w:lang w:eastAsia="en-US"/>
              </w:rPr>
            </w:pP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lastRenderedPageBreak/>
              <w:t>10.</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Noteikumu projekts</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shd w:val="clear" w:color="auto" w:fill="FFFFFF"/>
              <w:jc w:val="both"/>
            </w:pPr>
            <w:r w:rsidRPr="001F4F6A">
              <w:t xml:space="preserve">2. Ņemot vērā, ka atbilstoši noteikumu projekta 1. punktam kā viena no programmas atbalsta jomām tiek noteikta tiesu ekspertīžu sistēmas stiprināšana, lūdzam izvērtēt un ar noteikumu projektu precizēt noteikumu Nr. 91 3. punktu, atbilstoši precizējot programmas mērķi. Vēršam uzmanību, ka šobrīd programmas mērķis ir uzlabot noziedzības novēršanu un izmeklēšanu ekonomisko noziegumu apkarošanas jomā un bērnu aizsardzības jomā, savukārt programmas atbalsta joma – tiesu ekspertīžu sistēmas stiprināšana – ir </w:t>
            </w:r>
            <w:proofErr w:type="spellStart"/>
            <w:r w:rsidRPr="001F4F6A">
              <w:t>pirmšķietami</w:t>
            </w:r>
            <w:proofErr w:type="spellEnd"/>
            <w:r w:rsidRPr="001F4F6A">
              <w:t xml:space="preserve"> plašāka un neaprobežojas tikai ar ekonomisko noziegumu apkarošanas jomu un bērnu aizsardzības jomu. Alternatīvi lūdzam sniegt pamatotu skaidrojumu par noteikumu projekta 1. punktā ietvertās programmas atbalsta jomas ietvaru un atbilstību programmas mērķim noteikumu projekta anotācijā.</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bCs/>
              </w:rPr>
            </w:pPr>
            <w:r w:rsidRPr="001F4F6A">
              <w:rPr>
                <w:b/>
                <w:bCs/>
              </w:rPr>
              <w:t>Ņemts vērā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rsidRPr="001F4F6A">
              <w:rPr>
                <w:lang w:eastAsia="en-US"/>
              </w:rPr>
              <w:t>2. papildināt 3.punktu aiz vārdiem “aizsardzības jomā” ar pieturzīmi un vārdiem “, kā arī stiprināt tiesu ekspertīžu sistēmu.”;</w:t>
            </w:r>
          </w:p>
        </w:tc>
      </w:tr>
      <w:tr w:rsidR="00C53E9C" w:rsidRPr="00EB075A" w:rsidTr="00D65EFE">
        <w:trPr>
          <w:trHeight w:val="437"/>
        </w:trPr>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11.</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 xml:space="preserve">3. </w:t>
            </w:r>
            <w:r w:rsidRPr="001F4F6A">
              <w:rPr>
                <w:szCs w:val="28"/>
              </w:rPr>
              <w:t>svītrot 7. punktā vārdus "grozījumu priekšlikums ietekmē programmas rezultātus un iznākuma rādītājus vai ja";</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shd w:val="clear" w:color="auto" w:fill="FFFFFF"/>
              <w:ind w:firstLine="42"/>
              <w:jc w:val="both"/>
            </w:pPr>
            <w:r w:rsidRPr="001F4F6A">
              <w:t xml:space="preserve">3. Saskaņā ar Ministru kabineta 2009. gada 15. decembra instrukcijas Nr. 19 "Tiesību akta projekta sākotnējās ietekmes izvērtēšanas kārtība" (turpmāk – instrukcija Nr. 19) 14. punktu lūdzam noteikumu </w:t>
            </w:r>
            <w:r w:rsidRPr="001F4F6A">
              <w:lastRenderedPageBreak/>
              <w:t>projekta anotācijā sniegt pamatotu skaidrojumu par noteikumu projekta 3. punkta nepieciešamību un mērķi. Nepieciešamības gadījumā lūdzam precizēt noteikumu projektu.</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rPr>
            </w:pPr>
            <w:r w:rsidRPr="001F4F6A">
              <w:rPr>
                <w:b/>
              </w:rPr>
              <w:lastRenderedPageBreak/>
              <w:t>Ņemts vērā</w:t>
            </w:r>
          </w:p>
          <w:p w:rsidR="00C53E9C" w:rsidRPr="001F4F6A" w:rsidRDefault="00C53E9C" w:rsidP="00D65EFE">
            <w:pPr>
              <w:jc w:val="both"/>
            </w:pPr>
            <w:r w:rsidRPr="001F4F6A">
              <w:t>Veikti precizējumi anotācijā.</w:t>
            </w:r>
          </w:p>
          <w:p w:rsidR="00C53E9C" w:rsidRPr="001F4F6A" w:rsidRDefault="00C53E9C" w:rsidP="00D65EFE">
            <w:pPr>
              <w:jc w:val="both"/>
            </w:pPr>
            <w:r w:rsidRPr="001F4F6A">
              <w:t>Skaidrojam, ka 2020.</w:t>
            </w:r>
            <w:r>
              <w:t> </w:t>
            </w:r>
            <w:r w:rsidRPr="001F4F6A">
              <w:t xml:space="preserve">gada aprīļa Iekšlietu ministrijas kā programmas apsaimniekotāja </w:t>
            </w:r>
            <w:r w:rsidRPr="001F4F6A">
              <w:lastRenderedPageBreak/>
              <w:t>sarunās ar Finanšu instrumenta biroju ir panākta vienošanās, ka, lai izvairītos no potenciāli biežiem programmas grozījumiem, ja projektu grozījumu rezultātā tiek ietekmēti programmas indikatori, nav nepieciešams sagatavot programmas grozījumus, taču ir jāsniedz situācijas skaidrojums, sagatavojot atskaites.</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pPr>
            <w:r w:rsidRPr="001F4F6A">
              <w:lastRenderedPageBreak/>
              <w:t xml:space="preserve">4. </w:t>
            </w:r>
            <w:r w:rsidRPr="001F4F6A">
              <w:rPr>
                <w:szCs w:val="28"/>
              </w:rPr>
              <w:t>svītrot 7. punktā vārdus "grozījumu priekšlikums ietekmē programmas rezultātus un iznākuma rādītājus vai ja";</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12.</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Noteikumu projekta 4.punkts</w:t>
            </w:r>
          </w:p>
          <w:p w:rsidR="00C53E9C" w:rsidRPr="001F4F6A" w:rsidRDefault="00C53E9C" w:rsidP="00D65EFE">
            <w:pPr>
              <w:jc w:val="both"/>
            </w:pPr>
            <w:r w:rsidRPr="001F4F6A">
              <w:t>"12. Programmas apsaimniekotājs nodrošina, ka šo noteikumu 2.1. un 2.3. apakšpunktos minētajām programmas atbalsta jomām, līdz 60 procenti no atbalsta jomai piešķirtā kopējā finansējuma novirzāmi transportlīdzekļu iegādei un būvniecībai, neieskaitot projektēšanu, būvuzraudzību un autoruzraudzību.";</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shd w:val="clear" w:color="auto" w:fill="FFFFFF"/>
              <w:jc w:val="both"/>
            </w:pPr>
            <w:r w:rsidRPr="001F4F6A">
              <w:t>4. Noteikumu projekta 4. punkts paredz, ka programmas apsaimniekotājs nodrošina, ka šo noteikumu 2.1. un 2.3. apakšpunktos minētajām programmas atbalsta jomām līdz 60 procenti no atbalsta jomai piešķirtā kopējā finansējuma novirzāmi transportlīdzekļu iegādei un būvniecībai, neieskaitot projektēšanu, būvuzraudzību un autoruzraudzību. Saistībā ar minēto:</w:t>
            </w:r>
          </w:p>
          <w:p w:rsidR="00C53E9C" w:rsidRPr="001F4F6A" w:rsidRDefault="00C53E9C" w:rsidP="00D65EFE">
            <w:pPr>
              <w:shd w:val="clear" w:color="auto" w:fill="FFFFFF"/>
              <w:jc w:val="both"/>
            </w:pPr>
            <w:r w:rsidRPr="001F4F6A">
              <w:t>1) tiesiskās noteiktības nolūkā lūdzam skaidri norādīt, vai abās minētajās programmas atbalsta jomās līdz 60 procenti no atbalsta jomai piešķirtā kopējā finansējuma ir jānovirza gan transportlīdzekļu iegādei, gan būvniecībai (šādā gadījumā norādot arī īpatsvaru, kādā finansējums būtu jānovirza katrā no konkrētajām atbalstāmajām darbībām) vai vienai no konkrētajām atbalstāmajām darbībām (proti, transportlīdzekļu iegādei vai būvniecībai);</w:t>
            </w:r>
          </w:p>
          <w:p w:rsidR="00C53E9C" w:rsidRPr="001F4F6A" w:rsidRDefault="00C53E9C" w:rsidP="00D65EFE">
            <w:pPr>
              <w:shd w:val="clear" w:color="auto" w:fill="FFFFFF"/>
              <w:jc w:val="both"/>
            </w:pPr>
            <w:r w:rsidRPr="001F4F6A">
              <w:lastRenderedPageBreak/>
              <w:t>2) saskaņā ar instrukcijas Nr. 19 14. punktu lūdzam sniegt detalizētu un pamatotu skaidrojumu par minētā punkta nepieciešamību un mērķi.</w:t>
            </w:r>
          </w:p>
          <w:p w:rsidR="00C53E9C" w:rsidRPr="001F4F6A" w:rsidRDefault="00C53E9C" w:rsidP="00D65EFE">
            <w:pPr>
              <w:widowControl w:val="0"/>
              <w:jc w:val="both"/>
            </w:pPr>
            <w:r w:rsidRPr="001F4F6A">
              <w:t>Nepieciešamības gadījumā lūdzam precizēt noteikumu projektu.</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rPr>
            </w:pPr>
            <w:r w:rsidRPr="001F4F6A">
              <w:rPr>
                <w:b/>
              </w:rPr>
              <w:lastRenderedPageBreak/>
              <w:t>Ņemts vērā</w:t>
            </w:r>
          </w:p>
          <w:p w:rsidR="00C53E9C" w:rsidRPr="001F4F6A" w:rsidRDefault="00C53E9C" w:rsidP="00D65EFE">
            <w:pPr>
              <w:jc w:val="both"/>
            </w:pPr>
            <w:r w:rsidRPr="001F4F6A">
              <w:t>Lūdzu skatīt arī skaidrojumu izziņas 5.punktā.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rPr>
                <w:lang w:eastAsia="en-US"/>
              </w:rPr>
            </w:pPr>
            <w:r w:rsidRPr="001F4F6A">
              <w:rPr>
                <w:lang w:eastAsia="en-US"/>
              </w:rPr>
              <w:t>Noteikumu projekta 5.punkts</w:t>
            </w:r>
          </w:p>
          <w:p w:rsidR="00C53E9C" w:rsidRPr="001F4F6A" w:rsidRDefault="00C53E9C" w:rsidP="00D65EFE">
            <w:pPr>
              <w:jc w:val="both"/>
            </w:pPr>
            <w:r w:rsidRPr="001F4F6A">
              <w:rPr>
                <w:lang w:eastAsia="en-US"/>
              </w:rPr>
              <w:t xml:space="preserve">"12. Programmas apsaimniekotājs nodrošina, ka šo noteikumu 2.1. apakšpunktā minētajai atbalsta jomai līdz 60 procenti no atbalsta jomai piešķirtā kopējā finansējuma novirzāmi būvniecībai, neieskaitot projektēšanu, būvuzraudzību un autoruzraudzību un šo noteikumu </w:t>
            </w:r>
            <w:r w:rsidRPr="00565E7F">
              <w:rPr>
                <w:lang w:eastAsia="en-US"/>
              </w:rPr>
              <w:t>2.3. apakšpunktā minētajai programmas atbalsta jomai līdz 60 procenti no atbalsta jomai piešķirtā kopējā finansējuma novirzāmi transportlīdzekļu iegādei.";</w:t>
            </w:r>
          </w:p>
        </w:tc>
      </w:tr>
      <w:tr w:rsidR="00C53E9C" w:rsidRPr="00CD2D44"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13.</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shd w:val="clear" w:color="auto" w:fill="FFFFFF"/>
              <w:ind w:hanging="100"/>
              <w:jc w:val="both"/>
            </w:pPr>
            <w:r w:rsidRPr="001F4F6A">
              <w:tab/>
              <w:t>5. Ņemot vērā, ka ar noteikumu projektu paredzēts izdarīt grozījumus noteikumu Nr. 91 normās, ar kurām iepriekš tikušas pārņemtas saprašanās memoranda prasības, lūdzam aizpildīt noteikumu projekta anotācijas V sadaļu atbilstoši instrukcijas Nr. 19 57. un 58. punktam.</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rPr>
            </w:pPr>
            <w:r w:rsidRPr="001F4F6A">
              <w:rPr>
                <w:b/>
              </w:rPr>
              <w:t>Ņemts vērā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pPr>
            <w:r w:rsidRPr="001F4F6A">
              <w:t>Lūdzu skatīt precizēto anotāciju.</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14.</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shd w:val="clear" w:color="auto" w:fill="FFFFFF"/>
              <w:ind w:firstLine="709"/>
              <w:jc w:val="both"/>
            </w:pPr>
            <w:r w:rsidRPr="001F4F6A">
              <w:t>Priekšlikumi:</w:t>
            </w:r>
          </w:p>
          <w:p w:rsidR="00C53E9C" w:rsidRPr="001F4F6A" w:rsidRDefault="00C53E9C" w:rsidP="00D65EFE">
            <w:pPr>
              <w:shd w:val="clear" w:color="auto" w:fill="FFFFFF"/>
              <w:jc w:val="both"/>
            </w:pPr>
            <w:r w:rsidRPr="001F4F6A">
              <w:t xml:space="preserve">1. Lūdzam sniegt pamatotu skaidrojumu, kādēļ ar noteikumu projekta 2. punktu nepieciešams iekļaut noteikumos Nr. 91 informāciju par Norvēģijas finanšu instrumenta divpusējās sadarbības fonda (programmas līmeņa) finansējumu 171 000 </w:t>
            </w:r>
            <w:r w:rsidRPr="001F4F6A">
              <w:rPr>
                <w:i/>
                <w:iCs/>
              </w:rPr>
              <w:t>euro</w:t>
            </w:r>
            <w:r w:rsidRPr="001F4F6A">
              <w:t>, jo pēc būtības divpusējās sadarbības finansējums Ministru kabineta noteikumos norādīts netiek. Nepieciešamības gadījumā lūdzam precizēt noteikumu projektu.</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rPr>
                <w:b/>
              </w:rPr>
            </w:pPr>
            <w:r w:rsidRPr="001F4F6A">
              <w:rPr>
                <w:b/>
              </w:rPr>
              <w:t>Ņemts vērā</w:t>
            </w:r>
          </w:p>
          <w:p w:rsidR="00C53E9C" w:rsidRPr="001F4F6A" w:rsidRDefault="00C53E9C" w:rsidP="00D65EFE">
            <w:pPr>
              <w:jc w:val="both"/>
            </w:pPr>
            <w:r w:rsidRPr="001F4F6A">
              <w:t>Sniedzam skaidrojumu, ka kopējais rezerves finansējuma piešķīrums, t.sk. divpusējās sadarbības finansējums, kas novirzāms projekta mērķu un rezultātu sasniegšanai tiek iekļauts saistītajos noteikuma projekta dokumentos, jo sniedz pilnvērtīgu informāciju par pieejamo finansējumu programmā, projektā un divpusējās sadarbības aktivitāšu īstenošanai.</w:t>
            </w:r>
          </w:p>
        </w:tc>
        <w:tc>
          <w:tcPr>
            <w:tcW w:w="3317" w:type="dxa"/>
            <w:tcBorders>
              <w:top w:val="single" w:sz="4" w:space="0" w:color="auto"/>
              <w:left w:val="single" w:sz="4" w:space="0" w:color="auto"/>
              <w:bottom w:val="single" w:sz="4" w:space="0" w:color="auto"/>
            </w:tcBorders>
          </w:tcPr>
          <w:p w:rsidR="00C53E9C" w:rsidRPr="00EB075A" w:rsidRDefault="00C53E9C" w:rsidP="00D65EFE">
            <w:pPr>
              <w:jc w:val="both"/>
            </w:pP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pPr>
            <w:r w:rsidRPr="001F4F6A">
              <w:t>15.</w:t>
            </w:r>
          </w:p>
        </w:tc>
        <w:tc>
          <w:tcPr>
            <w:tcW w:w="2977"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both"/>
            </w:pPr>
            <w:r w:rsidRPr="001F4F6A">
              <w:t xml:space="preserve">3. Finanšu ministrijai kā programmas vadošajai iestādei, šā protokollēmuma 2. punktā minēto priekšlikumu pozitīva saskaņojuma gadījumā, nodrošināt  programmas </w:t>
            </w:r>
            <w:r w:rsidRPr="001F4F6A">
              <w:lastRenderedPageBreak/>
              <w:t xml:space="preserve">līguma grozījumu un ar to saistīto grozījumu Latvijas Republikas un Īslandes, Lihtenšteinas Firstistes un Norvēģijas Karalistes saprašanās memoranda par Eiropas Ekonomikas zonas finanšu instrumenta ieviešanu 2014.–2021. gadā (pieņemts un apstiprināts ar </w:t>
            </w:r>
            <w:r w:rsidRPr="001F4F6A">
              <w:rPr>
                <w:bCs/>
              </w:rPr>
              <w:t xml:space="preserve">Ministru kabineta </w:t>
            </w:r>
            <w:r w:rsidRPr="001F4F6A">
              <w:t xml:space="preserve">2017. gada 5. decembra </w:t>
            </w:r>
            <w:r w:rsidRPr="001F4F6A">
              <w:rPr>
                <w:bCs/>
              </w:rPr>
              <w:t xml:space="preserve">noteikumiem Nr. 712 </w:t>
            </w:r>
            <w:r w:rsidRPr="001F4F6A">
              <w:t>“Par Latvijas Republikas un Īslandes, Lihtenšteinas Firstistes un Norvēģijas Karalistes saprašanās memorandu par Eiropas Ekonomikas zonas instrumenta ieviešanu 2014.–2021. gadā”) B pielikumā iesniegšanu Finanšu instrumenta birojam.</w:t>
            </w:r>
          </w:p>
        </w:tc>
        <w:tc>
          <w:tcPr>
            <w:tcW w:w="4394"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shd w:val="clear" w:color="auto" w:fill="FFFFFF"/>
              <w:jc w:val="both"/>
            </w:pPr>
            <w:r w:rsidRPr="001F4F6A">
              <w:lastRenderedPageBreak/>
              <w:t xml:space="preserve">2. Lūdzam precizēt lēmuma projekta 3. punktu, svītrojot tajā vārdu "pozitīva", tādējādi salāgojot lēmuma projektā lietoto terminoloģiju ar terminoloģiju, kāda lietota Ministru kabineta 2018. gada 13. novembra noteikumos Nr. 683 "Eiropas Ekonomikas zonas finanšu instrumenta un Norvēģijas </w:t>
            </w:r>
            <w:r w:rsidRPr="001F4F6A">
              <w:lastRenderedPageBreak/>
              <w:t>finanšu instrumenta 2014.–2021. gada perioda vadības noteikumi".".</w:t>
            </w:r>
          </w:p>
        </w:tc>
        <w:tc>
          <w:tcPr>
            <w:tcW w:w="3261" w:type="dxa"/>
            <w:tcBorders>
              <w:top w:val="single" w:sz="4" w:space="0" w:color="auto"/>
              <w:left w:val="single" w:sz="4" w:space="0" w:color="auto"/>
              <w:bottom w:val="single" w:sz="4" w:space="0" w:color="auto"/>
              <w:right w:val="single" w:sz="4" w:space="0" w:color="auto"/>
            </w:tcBorders>
          </w:tcPr>
          <w:p w:rsidR="00C53E9C" w:rsidRPr="001F4F6A" w:rsidRDefault="00C53E9C" w:rsidP="00D65EFE">
            <w:pPr>
              <w:jc w:val="center"/>
              <w:rPr>
                <w:b/>
              </w:rPr>
            </w:pPr>
            <w:r w:rsidRPr="001F4F6A">
              <w:rPr>
                <w:b/>
              </w:rPr>
              <w:lastRenderedPageBreak/>
              <w:t>Ņemts vērā</w:t>
            </w:r>
          </w:p>
        </w:tc>
        <w:tc>
          <w:tcPr>
            <w:tcW w:w="3317" w:type="dxa"/>
            <w:tcBorders>
              <w:top w:val="single" w:sz="4" w:space="0" w:color="auto"/>
              <w:left w:val="single" w:sz="4" w:space="0" w:color="auto"/>
              <w:bottom w:val="single" w:sz="4" w:space="0" w:color="auto"/>
            </w:tcBorders>
          </w:tcPr>
          <w:p w:rsidR="00C53E9C" w:rsidRPr="001F4F6A" w:rsidRDefault="00C53E9C" w:rsidP="00D65EFE">
            <w:pPr>
              <w:jc w:val="both"/>
            </w:pPr>
            <w:r w:rsidRPr="001F4F6A">
              <w:t xml:space="preserve">3. Finanšu ministrijai kā Eiropas Ekonomikas zonas finanšu instrumenta un Norvēģijas finanšu instrumenta vadošajai iestādei, šā protokollēmuma 2. punktā minēto priekšlikumu saskaņojuma gadījumā </w:t>
            </w:r>
            <w:r w:rsidRPr="001F4F6A">
              <w:lastRenderedPageBreak/>
              <w:t xml:space="preserve">nodrošināt programmas līguma grozījumu un ar to saistīto grozījumu Latvijas Republikas un Īslandes, Lihtenšteinas Firstistes un Norvēģijas Karalistes saprašanās memoranda par Eiropas Ekonomikas zonas finanšu instrumenta ieviešanu 2014.–2021. gadā (pieņemts un apstiprināts ar </w:t>
            </w:r>
            <w:r w:rsidRPr="001F4F6A">
              <w:rPr>
                <w:bCs/>
              </w:rPr>
              <w:t xml:space="preserve">Ministru kabineta </w:t>
            </w:r>
            <w:r w:rsidRPr="001F4F6A">
              <w:t xml:space="preserve">2017. gada 5. decembra </w:t>
            </w:r>
            <w:r w:rsidRPr="001F4F6A">
              <w:rPr>
                <w:bCs/>
              </w:rPr>
              <w:t xml:space="preserve">noteikumiem Nr. 712 </w:t>
            </w:r>
            <w:r w:rsidRPr="001F4F6A">
              <w:t xml:space="preserve">“Par Latvijas Republikas un Īslandes, Lihtenšteinas Firstistes un Norvēģijas Karalistes saprašanās memorandu par Eiropas Ekonomikas zonas instrumenta ieviešanu 2014.–2021. gadā”) un  Latvijas Republikas un Norvēģijas Karalistes saprašanās memoranda par Norvēģijas finanšu instrumenta ieviešanu 2014.-2021.gadā (pieņemts un apstiprināts ar Ministru kabineta 2017. gada 5. decembra </w:t>
            </w:r>
            <w:r w:rsidRPr="001F4F6A">
              <w:rPr>
                <w:bCs/>
              </w:rPr>
              <w:t xml:space="preserve">noteikumiem Nr. 713 “Par Latvijas Republikas un Norvēģijas Karalistes saprašanās memorandu par Norvēģijas finanšu instrumenta ieviešanu 2014.-2021.gadā”) </w:t>
            </w:r>
            <w:r w:rsidRPr="001F4F6A">
              <w:t xml:space="preserve">B </w:t>
            </w:r>
            <w:r w:rsidRPr="001F4F6A">
              <w:lastRenderedPageBreak/>
              <w:t>pielikumos iesniegšanu Finanšu instrumenta birojam.</w:t>
            </w:r>
          </w:p>
        </w:tc>
      </w:tr>
      <w:tr w:rsidR="00C53E9C" w:rsidRPr="00EB075A" w:rsidTr="00D65EFE">
        <w:tc>
          <w:tcPr>
            <w:tcW w:w="675" w:type="dxa"/>
            <w:tcBorders>
              <w:top w:val="single" w:sz="4" w:space="0" w:color="auto"/>
              <w:left w:val="single" w:sz="4" w:space="0" w:color="auto"/>
              <w:bottom w:val="single" w:sz="4" w:space="0" w:color="auto"/>
              <w:right w:val="single" w:sz="4" w:space="0" w:color="auto"/>
            </w:tcBorders>
          </w:tcPr>
          <w:p w:rsidR="00C53E9C" w:rsidRPr="00EB075A" w:rsidRDefault="00C53E9C" w:rsidP="00D65EFE">
            <w:pPr>
              <w:jc w:val="center"/>
            </w:pPr>
            <w:r w:rsidRPr="00EB075A">
              <w:lastRenderedPageBreak/>
              <w:t>16.</w:t>
            </w:r>
          </w:p>
        </w:tc>
        <w:tc>
          <w:tcPr>
            <w:tcW w:w="2977" w:type="dxa"/>
            <w:tcBorders>
              <w:top w:val="single" w:sz="4" w:space="0" w:color="auto"/>
              <w:left w:val="single" w:sz="4" w:space="0" w:color="auto"/>
              <w:bottom w:val="single" w:sz="4" w:space="0" w:color="auto"/>
              <w:right w:val="single" w:sz="4" w:space="0" w:color="auto"/>
            </w:tcBorders>
          </w:tcPr>
          <w:p w:rsidR="00C53E9C" w:rsidRPr="004D2E92" w:rsidRDefault="00C53E9C" w:rsidP="00D65EFE">
            <w:pPr>
              <w:pStyle w:val="ListParagraph"/>
              <w:tabs>
                <w:tab w:val="left" w:pos="993"/>
              </w:tabs>
              <w:spacing w:after="0" w:line="240" w:lineRule="auto"/>
              <w:ind w:left="35" w:hanging="35"/>
              <w:contextualSpacing w:val="0"/>
              <w:jc w:val="both"/>
              <w:rPr>
                <w:rFonts w:ascii="Times New Roman" w:hAnsi="Times New Roman"/>
                <w:sz w:val="24"/>
                <w:szCs w:val="24"/>
                <w:lang w:eastAsia="lv-LV"/>
              </w:rPr>
            </w:pPr>
            <w:r w:rsidRPr="004D2E92">
              <w:rPr>
                <w:rFonts w:ascii="Times New Roman" w:hAnsi="Times New Roman"/>
                <w:sz w:val="24"/>
                <w:szCs w:val="24"/>
                <w:lang w:eastAsia="lv-LV"/>
              </w:rPr>
              <w:t>6. papildināt noteikumus ar 15.7. apakšpunktu šādā redakcijā:</w:t>
            </w:r>
          </w:p>
          <w:p w:rsidR="00C53E9C" w:rsidRPr="004D2E92" w:rsidRDefault="00C53E9C" w:rsidP="00D65EFE">
            <w:pPr>
              <w:tabs>
                <w:tab w:val="left" w:pos="993"/>
              </w:tabs>
              <w:ind w:left="35" w:hanging="35"/>
              <w:jc w:val="both"/>
            </w:pPr>
            <w:r w:rsidRPr="004D2E92">
              <w:t>"15.7. "Tiesu ekspertīžu sistēmas un notikumu vietas apskates kapacitātes stiprināšana".;</w:t>
            </w:r>
          </w:p>
          <w:p w:rsidR="00C53E9C" w:rsidRPr="00EB075A" w:rsidRDefault="00C53E9C" w:rsidP="00D65EFE">
            <w:pPr>
              <w:jc w:val="both"/>
            </w:pPr>
          </w:p>
        </w:tc>
        <w:tc>
          <w:tcPr>
            <w:tcW w:w="4394" w:type="dxa"/>
            <w:tcBorders>
              <w:top w:val="single" w:sz="4" w:space="0" w:color="auto"/>
              <w:left w:val="single" w:sz="4" w:space="0" w:color="auto"/>
              <w:bottom w:val="single" w:sz="4" w:space="0" w:color="auto"/>
              <w:right w:val="single" w:sz="4" w:space="0" w:color="auto"/>
            </w:tcBorders>
          </w:tcPr>
          <w:p w:rsidR="00C53E9C" w:rsidRPr="002B779E" w:rsidRDefault="00C53E9C" w:rsidP="00D65EFE">
            <w:pPr>
              <w:ind w:firstLine="709"/>
              <w:jc w:val="both"/>
              <w:rPr>
                <w:b/>
              </w:rPr>
            </w:pPr>
            <w:r w:rsidRPr="002B779E">
              <w:rPr>
                <w:b/>
              </w:rPr>
              <w:t>Labklājības ministrija</w:t>
            </w:r>
          </w:p>
          <w:p w:rsidR="00C53E9C" w:rsidRPr="002B779E" w:rsidRDefault="00C53E9C" w:rsidP="00D65EFE">
            <w:pPr>
              <w:ind w:firstLine="720"/>
              <w:jc w:val="both"/>
            </w:pPr>
            <w:r w:rsidRPr="002B779E">
              <w:t>Priekšlikums:</w:t>
            </w:r>
          </w:p>
          <w:p w:rsidR="00C53E9C" w:rsidRPr="002B779E" w:rsidRDefault="00C53E9C" w:rsidP="00D65EFE">
            <w:pPr>
              <w:jc w:val="both"/>
            </w:pPr>
            <w:r w:rsidRPr="002B779E">
              <w:t>Saskaņā ar projekta 6. punktu Eiropas Ekonomikas zonas finanšu instrumenta 2014.–2021. gada perioda programmu “Starptautiskā policijas sadarbība un noziedzības apkarošana” paredzēts papildināt ar jaunu projektu “Tiesu ekspertīžu sistēmas un notikumu vietas apskates kapacitātes stiprināšana” (turpmāk – EEZ projekts), kura īstenotājs būs Tieslietu ministrija kā projekta iesniedzējs sadarbībā ar projekta partneriem – Norvēģijas Nacionālo Kriminālās izlūkošanas pārvaldi (</w:t>
            </w:r>
            <w:proofErr w:type="spellStart"/>
            <w:r w:rsidRPr="002B779E">
              <w:rPr>
                <w:i/>
              </w:rPr>
              <w:t>National</w:t>
            </w:r>
            <w:proofErr w:type="spellEnd"/>
            <w:r w:rsidRPr="002B779E">
              <w:rPr>
                <w:i/>
              </w:rPr>
              <w:t xml:space="preserve"> </w:t>
            </w:r>
            <w:proofErr w:type="spellStart"/>
            <w:r w:rsidRPr="002B779E">
              <w:rPr>
                <w:i/>
              </w:rPr>
              <w:t>Criminal</w:t>
            </w:r>
            <w:proofErr w:type="spellEnd"/>
            <w:r w:rsidRPr="002B779E">
              <w:rPr>
                <w:i/>
              </w:rPr>
              <w:t xml:space="preserve"> </w:t>
            </w:r>
            <w:proofErr w:type="spellStart"/>
            <w:r w:rsidRPr="002B779E">
              <w:rPr>
                <w:i/>
              </w:rPr>
              <w:t>Investigation</w:t>
            </w:r>
            <w:proofErr w:type="spellEnd"/>
            <w:r w:rsidRPr="002B779E">
              <w:rPr>
                <w:i/>
              </w:rPr>
              <w:t xml:space="preserve"> </w:t>
            </w:r>
            <w:proofErr w:type="spellStart"/>
            <w:r w:rsidRPr="002B779E">
              <w:rPr>
                <w:i/>
              </w:rPr>
              <w:t>Service</w:t>
            </w:r>
            <w:proofErr w:type="spellEnd"/>
            <w:r w:rsidRPr="002B779E">
              <w:t xml:space="preserve">), Valsts policiju, Nodrošinājuma valsts aģentūru, Valsts tiesu ekspertīžu biroju un Valsts tiesu medicīnas ekspertīzes centru. </w:t>
            </w:r>
          </w:p>
          <w:p w:rsidR="00C53E9C" w:rsidRPr="002B779E" w:rsidRDefault="00C53E9C" w:rsidP="00D65EFE">
            <w:pPr>
              <w:ind w:firstLine="720"/>
              <w:jc w:val="both"/>
            </w:pPr>
            <w:r w:rsidRPr="002B779E">
              <w:t>Vēršam uzmanību, ka Eiropas Padomes Konvencijas par vardarbības pret sievietēm un vardarbības ģimenē novēršanu un apkarošanu (turpmāk – Stambulas konvencija)</w:t>
            </w:r>
            <w:r w:rsidRPr="002B779E">
              <w:rPr>
                <w:rStyle w:val="FootnoteReference"/>
              </w:rPr>
              <w:footnoteReference w:id="3"/>
            </w:r>
            <w:r w:rsidRPr="002B779E">
              <w:t xml:space="preserve"> 25.</w:t>
            </w:r>
            <w:r>
              <w:t> </w:t>
            </w:r>
            <w:r w:rsidRPr="002B779E">
              <w:t xml:space="preserve">pantā noteikts ka Stambulas konvencijas dalībvalstis pieņem normatīvos aktus un veic citus pasākumus, kas vajadzīgi, lai nodrošinātu to, ka tiek izveidots pietiekams skaits atbilstošu, viegli pieejamu palīdzības centru izvarošanas un seksuālās vardarbības upuriem, kuros šiem </w:t>
            </w:r>
            <w:r w:rsidRPr="002B779E">
              <w:lastRenderedPageBreak/>
              <w:t>seksuālās vardarbības upuriem ir pieejama medicīniskā apskate un tiesu ekspertīze un tiek sniegts atbalsts saistībā ar gūto traumu un konsultācijas.</w:t>
            </w:r>
          </w:p>
          <w:p w:rsidR="00C53E9C" w:rsidRPr="002B779E" w:rsidRDefault="00C53E9C" w:rsidP="00D65EFE">
            <w:pPr>
              <w:ind w:firstLine="720"/>
              <w:jc w:val="both"/>
            </w:pPr>
            <w:r w:rsidRPr="002B779E">
              <w:t>Konceptuālā ziņojuma “Par Latvijas pievienošanos Eiropas Padomes Konvencijai par vardarbības pret sievietēm un vardarbības ģimenē novēršanu un apkarošanu” (Ministru kabinets 2016.</w:t>
            </w:r>
            <w:r>
              <w:t> </w:t>
            </w:r>
            <w:r w:rsidRPr="002B779E">
              <w:t>gada 16.</w:t>
            </w:r>
            <w:r>
              <w:t> </w:t>
            </w:r>
            <w:r w:rsidRPr="002B779E">
              <w:t>maija rīkojums nr.</w:t>
            </w:r>
            <w:r>
              <w:t> </w:t>
            </w:r>
            <w:r w:rsidRPr="002B779E">
              <w:t>292, prot. Nr.</w:t>
            </w:r>
            <w:r>
              <w:t> </w:t>
            </w:r>
            <w:r w:rsidRPr="002B779E">
              <w:t>22 28.§)</w:t>
            </w:r>
            <w:r w:rsidRPr="002B779E">
              <w:rPr>
                <w:rStyle w:val="FootnoteReference"/>
              </w:rPr>
              <w:footnoteReference w:id="4"/>
            </w:r>
            <w:r w:rsidRPr="002B779E">
              <w:t xml:space="preserve"> 9.pielikumā “Stambulas konvencijas atbilstības tabula”, vērtējot nacionālā regulējuma atbilstību Stambulas konvencijas 25.</w:t>
            </w:r>
            <w:r>
              <w:t> </w:t>
            </w:r>
            <w:r w:rsidRPr="002B779E">
              <w:t xml:space="preserve">pantā ietvertajā prasībām, norādīts, ka “specializētu centru izvarošanas un seksuālās vardarbības upuriem šobrīd valstī nav. Medicīniskās apskates ir pieejamas ārstniecības iestādēs, kurām tiek izvirzītas noteiktas higiēnas u.c. prasības. Psiholoģiskā un juridiskā palīdzība tiek nodrošināta sociālās rehabilitācijas ietvaros. </w:t>
            </w:r>
            <w:r w:rsidRPr="002B779E">
              <w:rPr>
                <w:u w:val="single"/>
              </w:rPr>
              <w:t>Tomēr iespējas veikt tūlītēju tiesu medicīnisko ekspertīzi vai medicīnas speciālistam paņemt un uzglabāt paraugus tālākas ekspertīzes veikšanai praksē ir ierobežotas. Šāda iespēja cietušajiem ir būtiska, it īpaši tajos gadījumos, kad seksuāla vardarbība veikta fiziskā saskarē ar cietušā ķermeni”</w:t>
            </w:r>
            <w:r w:rsidRPr="002B779E">
              <w:t xml:space="preserve">. Turpat arī norādīts, ka tiesu medicīniskā ekspertīze ir procesuāla darbība, ko veic tiesu medicīnas eksperts saskaņā ar procesa </w:t>
            </w:r>
            <w:r w:rsidRPr="002B779E">
              <w:lastRenderedPageBreak/>
              <w:t>virzītāja lēmumu krimināllietā vai tiesas lēmumu krimināllietā (Ministru kabineta 2018.gada 11.decembra  noteikumi Nr. 782 “Tiesmedicīniskās ekspertīzes veikšanas kārtība”). Tiesu medicīnisko ekspertīzi nevar veikt citas ārstniecības personas, piemēram, ginekologs izvarošanas gadījumos, jo saskaņā ar Ministru kabineta 2009.gada 24.marta noteikumiem Nr. 268 “Noteikumi par ārstniecības personu un studējošo, kuri apgūst pirmā vai otrā līmeņa profesionālās augstākās medicīniskās izglītības programmas, kompetenci ārstniecībā un šo personu teorētisko un praktisko zināšanu apjomu” ginekologa kompetencē neietilpst tiesu medicīniskās ekspertīzes veikšana.</w:t>
            </w:r>
          </w:p>
          <w:p w:rsidR="00C53E9C" w:rsidRPr="002B779E" w:rsidRDefault="00C53E9C" w:rsidP="00D65EFE">
            <w:pPr>
              <w:ind w:firstLine="720"/>
              <w:jc w:val="both"/>
            </w:pPr>
            <w:r w:rsidRPr="002B779E">
              <w:t>Minētajā konceptuālajā ziņojumā, lai risināt</w:t>
            </w:r>
            <w:r>
              <w:t>u</w:t>
            </w:r>
            <w:r w:rsidRPr="002B779E">
              <w:t xml:space="preserve"> iepriekš uzskaitītās problēmas arī norādīta turpmākā nepieciešamā rīcība. Saskaņā ar konceptuālo ziņojumu nepieciešams rast risinājumu, lai Latvijā tiktu izveidoti palīdzības centri izvarošanas un seksuālas vardarbības upuriem, </w:t>
            </w:r>
            <w:r w:rsidRPr="002B779E">
              <w:rPr>
                <w:u w:val="single"/>
              </w:rPr>
              <w:t>tai skaitā nodrošinot iespēju veikt tiesu medicīnas ekspertīzi cietušajam pēc iespējas īsākā laikā no notikuma brīža</w:t>
            </w:r>
            <w:r w:rsidRPr="002B779E">
              <w:t xml:space="preserve">. Konceptuālajā ziņojumā arī atzīmēts, ka risinot jautājumu par iespēju izvarošanas un seksuālās vardarbības upuriem veikt tūlītēju tiesu medicīnisko ekspertīzi, primāri vērtējami tādi iespējamie risinājumi, kas neprasītu papildus valsts budžeta līdzekļus. Tomēr, ja šāda iespēja netiktu rasta, vērtējama jaunu </w:t>
            </w:r>
            <w:r w:rsidRPr="002B779E">
              <w:lastRenderedPageBreak/>
              <w:t>palīdzības centru izveidošana izvarošanas un seksuālās vardarbības upuriem. Kā atbildīgās ministrijas minēto jautājumu risināšanā norādītas: Labklājības ministrija, Tieslietu ministrija un Veselības ministrija.</w:t>
            </w:r>
          </w:p>
          <w:p w:rsidR="00C53E9C" w:rsidRPr="00EB075A" w:rsidRDefault="00C53E9C" w:rsidP="00D65EFE">
            <w:pPr>
              <w:ind w:firstLine="709"/>
              <w:jc w:val="both"/>
            </w:pPr>
            <w:r w:rsidRPr="002B779E">
              <w:t>Ievērojot minētajā konceptuālajā ziņojumā norādītās problēmas un nepieciešamās turpmākās darbības identificēto problēmu risināšanai, iesakām to ņemt vērā EEZ projektā, projekta laikā plānojot attiecīgus pasākumus situācijas uzlabošanai tiesu medicīnas ekspertīžu veikšanas jomā.</w:t>
            </w:r>
          </w:p>
        </w:tc>
        <w:tc>
          <w:tcPr>
            <w:tcW w:w="3261" w:type="dxa"/>
            <w:tcBorders>
              <w:top w:val="single" w:sz="4" w:space="0" w:color="auto"/>
              <w:left w:val="single" w:sz="4" w:space="0" w:color="auto"/>
              <w:bottom w:val="single" w:sz="4" w:space="0" w:color="auto"/>
              <w:right w:val="single" w:sz="4" w:space="0" w:color="auto"/>
            </w:tcBorders>
          </w:tcPr>
          <w:p w:rsidR="00C53E9C" w:rsidRDefault="00C53E9C" w:rsidP="00D65EFE">
            <w:pPr>
              <w:jc w:val="both"/>
              <w:rPr>
                <w:b/>
              </w:rPr>
            </w:pPr>
            <w:r w:rsidRPr="001F4F6A">
              <w:rPr>
                <w:b/>
              </w:rPr>
              <w:lastRenderedPageBreak/>
              <w:t>Ņemts vērā</w:t>
            </w:r>
          </w:p>
          <w:p w:rsidR="00C53E9C" w:rsidRDefault="00C53E9C" w:rsidP="00D65EFE">
            <w:pPr>
              <w:jc w:val="both"/>
              <w:rPr>
                <w:b/>
              </w:rPr>
            </w:pPr>
          </w:p>
          <w:p w:rsidR="00C53E9C" w:rsidRDefault="00C53E9C" w:rsidP="00D65EFE">
            <w:pPr>
              <w:jc w:val="both"/>
            </w:pPr>
            <w:r>
              <w:t>Iekšlietu ministrija pateicas Labklājības ministrijai par pievērsto uzmanību šim svarīgajam jautājumam. Pēc konsultācijām ar Tieslietu ministriju kā iepriekš noteiktā projekta  “Tiesu ekspertīžu sistēmas un notikumu vietas apskates kapacitātes stiprināšana” īstenotāju, tika nonākts pie secinājuma, ka diemžēl šī projekta ietvaros nebūs iespējams nodrošināt Labklājības ministrijas priekšlikumā minēto, ņemot vērā projekta specifiku un to, ka visas projekta aktivitātes jau ir saskaņotas ar donorvalstīm.</w:t>
            </w:r>
          </w:p>
          <w:p w:rsidR="00C53E9C" w:rsidRDefault="00C53E9C" w:rsidP="00D65EFE">
            <w:pPr>
              <w:jc w:val="both"/>
            </w:pPr>
          </w:p>
          <w:p w:rsidR="00C53E9C" w:rsidRDefault="00C53E9C" w:rsidP="00D65EFE">
            <w:pPr>
              <w:jc w:val="both"/>
            </w:pPr>
          </w:p>
          <w:p w:rsidR="00C53E9C" w:rsidRPr="00EB075A" w:rsidRDefault="00C53E9C" w:rsidP="00D65EFE">
            <w:pPr>
              <w:jc w:val="both"/>
              <w:rPr>
                <w:b/>
              </w:rPr>
            </w:pPr>
          </w:p>
        </w:tc>
        <w:tc>
          <w:tcPr>
            <w:tcW w:w="3317" w:type="dxa"/>
            <w:tcBorders>
              <w:top w:val="single" w:sz="4" w:space="0" w:color="auto"/>
              <w:left w:val="single" w:sz="4" w:space="0" w:color="auto"/>
              <w:bottom w:val="single" w:sz="4" w:space="0" w:color="auto"/>
            </w:tcBorders>
          </w:tcPr>
          <w:p w:rsidR="00C53E9C" w:rsidRPr="00EB075A" w:rsidRDefault="00C53E9C" w:rsidP="00D65EFE">
            <w:pPr>
              <w:jc w:val="both"/>
              <w:rPr>
                <w:lang w:eastAsia="en-US"/>
              </w:rPr>
            </w:pPr>
          </w:p>
        </w:tc>
      </w:tr>
    </w:tbl>
    <w:p w:rsidR="00C53E9C" w:rsidRPr="00EB075A" w:rsidRDefault="00C53E9C" w:rsidP="00C53E9C"/>
    <w:tbl>
      <w:tblPr>
        <w:tblW w:w="17716" w:type="dxa"/>
        <w:tblLayout w:type="fixed"/>
        <w:tblLook w:val="00A0" w:firstRow="1" w:lastRow="0" w:firstColumn="1" w:lastColumn="0" w:noHBand="0" w:noVBand="0"/>
      </w:tblPr>
      <w:tblGrid>
        <w:gridCol w:w="3108"/>
        <w:gridCol w:w="5080"/>
        <w:gridCol w:w="3176"/>
        <w:gridCol w:w="3176"/>
        <w:gridCol w:w="3176"/>
      </w:tblGrid>
      <w:tr w:rsidR="00C53E9C" w:rsidRPr="00EB075A" w:rsidTr="00D65EFE">
        <w:trPr>
          <w:trHeight w:val="729"/>
        </w:trPr>
        <w:tc>
          <w:tcPr>
            <w:tcW w:w="3108" w:type="dxa"/>
          </w:tcPr>
          <w:p w:rsidR="00C53E9C" w:rsidRPr="00EB075A" w:rsidRDefault="00C53E9C" w:rsidP="00D65EFE">
            <w:pPr>
              <w:jc w:val="both"/>
              <w:rPr>
                <w:sz w:val="22"/>
                <w:szCs w:val="20"/>
              </w:rPr>
            </w:pPr>
            <w:r w:rsidRPr="00EB075A">
              <w:rPr>
                <w:sz w:val="22"/>
                <w:szCs w:val="20"/>
              </w:rPr>
              <w:t>Santa Balaško 67219500</w:t>
            </w:r>
          </w:p>
          <w:p w:rsidR="00C53E9C" w:rsidRPr="00EB075A" w:rsidRDefault="00C53E9C" w:rsidP="00D65EFE">
            <w:pPr>
              <w:jc w:val="both"/>
              <w:rPr>
                <w:sz w:val="22"/>
                <w:szCs w:val="20"/>
              </w:rPr>
            </w:pPr>
            <w:r w:rsidRPr="00EB075A">
              <w:rPr>
                <w:sz w:val="22"/>
                <w:szCs w:val="20"/>
              </w:rPr>
              <w:t>Santa.Balasko@iem.gov.lv</w:t>
            </w:r>
          </w:p>
        </w:tc>
        <w:tc>
          <w:tcPr>
            <w:tcW w:w="5080" w:type="dxa"/>
          </w:tcPr>
          <w:p w:rsidR="00C53E9C" w:rsidRPr="00EB075A" w:rsidRDefault="00C53E9C" w:rsidP="00D65EFE">
            <w:pPr>
              <w:jc w:val="both"/>
            </w:pPr>
          </w:p>
          <w:p w:rsidR="00C53E9C" w:rsidRPr="00EB075A" w:rsidRDefault="00C53E9C" w:rsidP="00D65EFE">
            <w:pPr>
              <w:jc w:val="both"/>
            </w:pPr>
          </w:p>
        </w:tc>
        <w:tc>
          <w:tcPr>
            <w:tcW w:w="3176" w:type="dxa"/>
          </w:tcPr>
          <w:p w:rsidR="00C53E9C" w:rsidRPr="00EB075A" w:rsidRDefault="00C53E9C" w:rsidP="00D65EFE">
            <w:pPr>
              <w:pStyle w:val="naisc"/>
              <w:spacing w:before="0" w:after="0"/>
              <w:rPr>
                <w:b/>
              </w:rPr>
            </w:pPr>
          </w:p>
        </w:tc>
        <w:tc>
          <w:tcPr>
            <w:tcW w:w="3176" w:type="dxa"/>
          </w:tcPr>
          <w:p w:rsidR="00C53E9C" w:rsidRPr="00EB075A" w:rsidRDefault="00C53E9C" w:rsidP="00D65EFE">
            <w:pPr>
              <w:jc w:val="both"/>
            </w:pPr>
          </w:p>
        </w:tc>
        <w:tc>
          <w:tcPr>
            <w:tcW w:w="3176" w:type="dxa"/>
          </w:tcPr>
          <w:p w:rsidR="00C53E9C" w:rsidRPr="00EB075A" w:rsidRDefault="00C53E9C" w:rsidP="00D65EFE"/>
        </w:tc>
      </w:tr>
      <w:tr w:rsidR="00C53E9C" w:rsidRPr="00EB075A" w:rsidTr="00D65EFE">
        <w:trPr>
          <w:gridAfter w:val="3"/>
          <w:wAfter w:w="9528" w:type="dxa"/>
        </w:trPr>
        <w:tc>
          <w:tcPr>
            <w:tcW w:w="3108" w:type="dxa"/>
          </w:tcPr>
          <w:p w:rsidR="00C53E9C" w:rsidRPr="00EB075A" w:rsidRDefault="00C53E9C" w:rsidP="00D65EFE">
            <w:pPr>
              <w:jc w:val="both"/>
              <w:rPr>
                <w:sz w:val="22"/>
                <w:szCs w:val="22"/>
              </w:rPr>
            </w:pPr>
          </w:p>
        </w:tc>
        <w:tc>
          <w:tcPr>
            <w:tcW w:w="5080" w:type="dxa"/>
            <w:tcBorders>
              <w:top w:val="single" w:sz="6" w:space="0" w:color="000000"/>
            </w:tcBorders>
          </w:tcPr>
          <w:p w:rsidR="00C53E9C" w:rsidRPr="00EB075A" w:rsidRDefault="00C53E9C" w:rsidP="00D65EFE">
            <w:pPr>
              <w:pStyle w:val="naisc"/>
              <w:spacing w:before="0" w:after="0"/>
              <w:ind w:firstLine="720"/>
            </w:pPr>
            <w:r w:rsidRPr="00EB075A">
              <w:t>(paraksts)</w:t>
            </w:r>
          </w:p>
        </w:tc>
      </w:tr>
    </w:tbl>
    <w:p w:rsidR="00C53E9C" w:rsidRPr="00EB075A" w:rsidRDefault="00C53E9C" w:rsidP="00C53E9C">
      <w:pPr>
        <w:pStyle w:val="Header"/>
      </w:pPr>
    </w:p>
    <w:p w:rsidR="00166BE4" w:rsidRDefault="00166BE4">
      <w:bookmarkStart w:id="5" w:name="_GoBack"/>
      <w:bookmarkEnd w:id="5"/>
    </w:p>
    <w:sectPr w:rsidR="00166BE4" w:rsidSect="00460122">
      <w:headerReference w:type="even" r:id="rId7"/>
      <w:headerReference w:type="default" r:id="rId8"/>
      <w:footerReference w:type="default" r:id="rId9"/>
      <w:footerReference w:type="first" r:id="rId10"/>
      <w:pgSz w:w="16838" w:h="11906" w:orient="landscape" w:code="9"/>
      <w:pgMar w:top="1134" w:right="1134" w:bottom="1134"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284" w:rsidRDefault="008F1284" w:rsidP="00C53E9C">
      <w:r>
        <w:separator/>
      </w:r>
    </w:p>
  </w:endnote>
  <w:endnote w:type="continuationSeparator" w:id="0">
    <w:p w:rsidR="008F1284" w:rsidRDefault="008F1284" w:rsidP="00C5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58F" w:rsidRPr="00D41E07" w:rsidRDefault="008F1284" w:rsidP="00D41E07">
    <w:pPr>
      <w:pStyle w:val="Footer"/>
    </w:pPr>
    <w:r>
      <w:rPr>
        <w:sz w:val="18"/>
        <w:szCs w:val="22"/>
      </w:rPr>
      <w:t>IeM</w:t>
    </w:r>
    <w:r w:rsidRPr="00894CAA">
      <w:rPr>
        <w:sz w:val="18"/>
        <w:szCs w:val="22"/>
      </w:rPr>
      <w:t>Izz</w:t>
    </w:r>
    <w:r>
      <w:rPr>
        <w:sz w:val="18"/>
        <w:szCs w:val="22"/>
      </w:rPr>
      <w:t>_</w:t>
    </w:r>
    <w:r>
      <w:rPr>
        <w:sz w:val="18"/>
        <w:szCs w:val="22"/>
      </w:rPr>
      <w:t>22</w:t>
    </w:r>
    <w:r>
      <w:rPr>
        <w:sz w:val="18"/>
        <w:szCs w:val="22"/>
      </w:rPr>
      <w:t>10</w:t>
    </w:r>
    <w:r>
      <w:rPr>
        <w:sz w:val="18"/>
        <w:szCs w:val="22"/>
      </w:rPr>
      <w:t>2021_MK91groz</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58F" w:rsidRPr="00894CAA" w:rsidRDefault="008F1284" w:rsidP="00032787">
    <w:pPr>
      <w:pStyle w:val="Footer"/>
    </w:pPr>
    <w:r>
      <w:rPr>
        <w:sz w:val="18"/>
        <w:szCs w:val="22"/>
      </w:rPr>
      <w:t>IeM</w:t>
    </w:r>
    <w:r w:rsidRPr="00894CAA">
      <w:rPr>
        <w:sz w:val="18"/>
        <w:szCs w:val="22"/>
      </w:rPr>
      <w:t>Izz</w:t>
    </w:r>
    <w:r>
      <w:rPr>
        <w:sz w:val="18"/>
        <w:szCs w:val="22"/>
      </w:rPr>
      <w:t>_</w:t>
    </w:r>
    <w:r>
      <w:rPr>
        <w:sz w:val="18"/>
        <w:szCs w:val="22"/>
      </w:rPr>
      <w:t>22</w:t>
    </w:r>
    <w:r>
      <w:rPr>
        <w:sz w:val="18"/>
        <w:szCs w:val="22"/>
      </w:rPr>
      <w:t>10</w:t>
    </w:r>
    <w:r>
      <w:rPr>
        <w:sz w:val="18"/>
        <w:szCs w:val="22"/>
      </w:rPr>
      <w:t>2021_</w:t>
    </w:r>
    <w:r>
      <w:rPr>
        <w:sz w:val="18"/>
        <w:szCs w:val="22"/>
      </w:rPr>
      <w:t>MK91groz</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284" w:rsidRDefault="008F1284" w:rsidP="00C53E9C">
      <w:r>
        <w:separator/>
      </w:r>
    </w:p>
  </w:footnote>
  <w:footnote w:type="continuationSeparator" w:id="0">
    <w:p w:rsidR="008F1284" w:rsidRDefault="008F1284" w:rsidP="00C53E9C">
      <w:r>
        <w:continuationSeparator/>
      </w:r>
    </w:p>
  </w:footnote>
  <w:footnote w:id="1">
    <w:p w:rsidR="00C53E9C" w:rsidRDefault="00C53E9C" w:rsidP="00C53E9C">
      <w:pPr>
        <w:pStyle w:val="FootnoteText"/>
      </w:pPr>
      <w:r>
        <w:rPr>
          <w:rStyle w:val="FootnoteReference"/>
        </w:rPr>
        <w:footnoteRef/>
      </w:r>
      <w:r>
        <w:t xml:space="preserve"> 2021.gada 18.jūnijā vadošā iestāde saņēma minēto vēstuli no Finanšu instrumenta biroja un 2021.gada 19.jūnijā attiecīgi informēja Iekšlietu ministriju kā programmas apsaimniekotāju.</w:t>
      </w:r>
    </w:p>
  </w:footnote>
  <w:footnote w:id="2">
    <w:p w:rsidR="00C53E9C" w:rsidRDefault="00C53E9C" w:rsidP="00C53E9C">
      <w:pPr>
        <w:pStyle w:val="FootnoteText"/>
      </w:pPr>
      <w:r>
        <w:rPr>
          <w:rStyle w:val="FootnoteReference"/>
        </w:rPr>
        <w:footnoteRef/>
      </w:r>
      <w:r>
        <w:t xml:space="preserve"> </w:t>
      </w:r>
      <w:r w:rsidRPr="00B07F43">
        <w:rPr>
          <w:rFonts w:ascii="Times New Roman" w:hAnsi="Times New Roman"/>
        </w:rPr>
        <w:t xml:space="preserve">Skaidrojam, ka arī šobrīd spēkā esošo programmas MK noteikumu 5.punktā norādītas summas bez DSF piešķīruma 100 000 </w:t>
      </w:r>
      <w:r w:rsidRPr="00B07F43">
        <w:rPr>
          <w:rFonts w:ascii="Times New Roman" w:hAnsi="Times New Roman"/>
          <w:i/>
          <w:iCs/>
        </w:rPr>
        <w:t>euro</w:t>
      </w:r>
      <w:r w:rsidRPr="00B07F43">
        <w:rPr>
          <w:rFonts w:ascii="Times New Roman" w:hAnsi="Times New Roman"/>
        </w:rPr>
        <w:t>, kas programmai piešķirti saskaņā ar Saprašanās memorandu starp Islandi, Lihtenšteinas Firstisti, Norvēģijas Karalisti un Latvijas Republiku divpusējās sadarbības aktivitāšu īstenošanai programmā.</w:t>
      </w:r>
    </w:p>
  </w:footnote>
  <w:footnote w:id="3">
    <w:p w:rsidR="00C53E9C" w:rsidRDefault="00C53E9C" w:rsidP="00C53E9C">
      <w:pPr>
        <w:pStyle w:val="FootnoteText"/>
      </w:pPr>
      <w:r>
        <w:rPr>
          <w:rStyle w:val="FootnoteReference"/>
        </w:rPr>
        <w:footnoteRef/>
      </w:r>
      <w:r>
        <w:t xml:space="preserve"> </w:t>
      </w:r>
      <w:hyperlink r:id="rId1" w:history="1">
        <w:r w:rsidRPr="0003147D">
          <w:rPr>
            <w:rStyle w:val="Hyperlink"/>
          </w:rPr>
          <w:t>https://rm.coe.int/1680462538</w:t>
        </w:r>
      </w:hyperlink>
      <w:r>
        <w:t xml:space="preserve">. </w:t>
      </w:r>
    </w:p>
  </w:footnote>
  <w:footnote w:id="4">
    <w:p w:rsidR="00C53E9C" w:rsidRDefault="00C53E9C" w:rsidP="00C53E9C">
      <w:pPr>
        <w:pStyle w:val="FootnoteText"/>
      </w:pPr>
      <w:r>
        <w:rPr>
          <w:rStyle w:val="FootnoteReference"/>
        </w:rPr>
        <w:footnoteRef/>
      </w:r>
      <w:r>
        <w:t xml:space="preserve"> </w:t>
      </w:r>
      <w:hyperlink r:id="rId2" w:history="1">
        <w:r w:rsidRPr="0003147D">
          <w:rPr>
            <w:rStyle w:val="Hyperlink"/>
          </w:rPr>
          <w:t>https://likumi.lv/ta/id/282156-par-konceptualu-zinojumu-par-latvijas-pievienosanos-eiropas-padomes-konvencijai-par-vardarbibas-pret-sievietem-un-vardarbibas-g</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58F" w:rsidRDefault="008F128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B758F" w:rsidRDefault="008F1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58F" w:rsidRDefault="008F128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3E9C">
      <w:rPr>
        <w:rStyle w:val="PageNumber"/>
        <w:noProof/>
      </w:rPr>
      <w:t>19</w:t>
    </w:r>
    <w:r>
      <w:rPr>
        <w:rStyle w:val="PageNumber"/>
      </w:rPr>
      <w:fldChar w:fldCharType="end"/>
    </w:r>
  </w:p>
  <w:p w:rsidR="008B758F" w:rsidRDefault="008F1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74D9"/>
    <w:multiLevelType w:val="multilevel"/>
    <w:tmpl w:val="FA760A2A"/>
    <w:lvl w:ilvl="0">
      <w:start w:val="1"/>
      <w:numFmt w:val="decimal"/>
      <w:lvlText w:val="%1."/>
      <w:lvlJc w:val="left"/>
      <w:pPr>
        <w:ind w:left="1160" w:hanging="450"/>
      </w:pPr>
      <w:rPr>
        <w:rFonts w:hint="default"/>
      </w:rPr>
    </w:lvl>
    <w:lvl w:ilvl="1">
      <w:start w:val="1"/>
      <w:numFmt w:val="decimal"/>
      <w:lvlText w:val="%1.%2."/>
      <w:lvlJc w:val="left"/>
      <w:pPr>
        <w:ind w:left="49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0413C7"/>
    <w:multiLevelType w:val="hybridMultilevel"/>
    <w:tmpl w:val="B122EF30"/>
    <w:lvl w:ilvl="0" w:tplc="EB629EF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975F99"/>
    <w:multiLevelType w:val="multilevel"/>
    <w:tmpl w:val="75000280"/>
    <w:lvl w:ilvl="0">
      <w:start w:val="1"/>
      <w:numFmt w:val="decimal"/>
      <w:lvlText w:val="%1."/>
      <w:lvlJc w:val="left"/>
      <w:pPr>
        <w:ind w:left="2629" w:hanging="360"/>
      </w:pPr>
      <w:rPr>
        <w:rFonts w:hint="default"/>
      </w:rPr>
    </w:lvl>
    <w:lvl w:ilvl="1">
      <w:start w:val="1"/>
      <w:numFmt w:val="decimal"/>
      <w:isLgl/>
      <w:lvlText w:val="%2."/>
      <w:lvlJc w:val="left"/>
      <w:pPr>
        <w:ind w:left="643"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E9C"/>
    <w:rsid w:val="00166BE4"/>
    <w:rsid w:val="008F1284"/>
    <w:rsid w:val="00C53E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B908DC-607D-4DE0-B38E-B1F5035B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E9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C53E9C"/>
    <w:rPr>
      <w:rFonts w:cs="Times New Roman"/>
      <w:color w:val="0000FF"/>
      <w:u w:val="single"/>
    </w:rPr>
  </w:style>
  <w:style w:type="paragraph" w:styleId="NormalWeb">
    <w:name w:val="Normal (Web)"/>
    <w:basedOn w:val="Normal"/>
    <w:rsid w:val="00C53E9C"/>
    <w:pPr>
      <w:spacing w:before="100" w:beforeAutospacing="1" w:after="100" w:afterAutospacing="1"/>
    </w:pPr>
  </w:style>
  <w:style w:type="paragraph" w:customStyle="1" w:styleId="naisf">
    <w:name w:val="naisf"/>
    <w:basedOn w:val="Normal"/>
    <w:rsid w:val="00C53E9C"/>
    <w:pPr>
      <w:spacing w:before="75" w:after="75"/>
      <w:ind w:firstLine="375"/>
      <w:jc w:val="both"/>
    </w:pPr>
  </w:style>
  <w:style w:type="paragraph" w:customStyle="1" w:styleId="naisnod">
    <w:name w:val="naisnod"/>
    <w:basedOn w:val="Normal"/>
    <w:uiPriority w:val="99"/>
    <w:rsid w:val="00C53E9C"/>
    <w:pPr>
      <w:spacing w:before="150" w:after="150"/>
      <w:jc w:val="center"/>
    </w:pPr>
    <w:rPr>
      <w:b/>
      <w:bCs/>
    </w:rPr>
  </w:style>
  <w:style w:type="paragraph" w:customStyle="1" w:styleId="naiskr">
    <w:name w:val="naiskr"/>
    <w:basedOn w:val="Normal"/>
    <w:rsid w:val="00C53E9C"/>
    <w:pPr>
      <w:spacing w:before="75" w:after="75"/>
    </w:pPr>
  </w:style>
  <w:style w:type="paragraph" w:customStyle="1" w:styleId="naisc">
    <w:name w:val="naisc"/>
    <w:basedOn w:val="Normal"/>
    <w:rsid w:val="00C53E9C"/>
    <w:pPr>
      <w:spacing w:before="75" w:after="75"/>
      <w:jc w:val="center"/>
    </w:pPr>
  </w:style>
  <w:style w:type="paragraph" w:styleId="Header">
    <w:name w:val="header"/>
    <w:basedOn w:val="Normal"/>
    <w:link w:val="HeaderChar"/>
    <w:uiPriority w:val="99"/>
    <w:rsid w:val="00C53E9C"/>
    <w:pPr>
      <w:tabs>
        <w:tab w:val="center" w:pos="4153"/>
        <w:tab w:val="right" w:pos="8306"/>
      </w:tabs>
    </w:pPr>
  </w:style>
  <w:style w:type="character" w:customStyle="1" w:styleId="HeaderChar">
    <w:name w:val="Header Char"/>
    <w:basedOn w:val="DefaultParagraphFont"/>
    <w:link w:val="Header"/>
    <w:uiPriority w:val="99"/>
    <w:rsid w:val="00C53E9C"/>
    <w:rPr>
      <w:rFonts w:ascii="Times New Roman" w:eastAsia="Times New Roman" w:hAnsi="Times New Roman" w:cs="Times New Roman"/>
      <w:sz w:val="24"/>
      <w:szCs w:val="24"/>
      <w:lang w:eastAsia="lv-LV"/>
    </w:rPr>
  </w:style>
  <w:style w:type="character" w:styleId="PageNumber">
    <w:name w:val="page number"/>
    <w:uiPriority w:val="99"/>
    <w:rsid w:val="00C53E9C"/>
    <w:rPr>
      <w:rFonts w:cs="Times New Roman"/>
    </w:rPr>
  </w:style>
  <w:style w:type="paragraph" w:styleId="Footer">
    <w:name w:val="footer"/>
    <w:basedOn w:val="Normal"/>
    <w:link w:val="FooterChar1"/>
    <w:uiPriority w:val="99"/>
    <w:rsid w:val="00C53E9C"/>
    <w:pPr>
      <w:tabs>
        <w:tab w:val="center" w:pos="4153"/>
        <w:tab w:val="right" w:pos="8306"/>
      </w:tabs>
    </w:pPr>
  </w:style>
  <w:style w:type="character" w:customStyle="1" w:styleId="FooterChar">
    <w:name w:val="Footer Char"/>
    <w:basedOn w:val="DefaultParagraphFont"/>
    <w:uiPriority w:val="99"/>
    <w:semiHidden/>
    <w:rsid w:val="00C53E9C"/>
    <w:rPr>
      <w:rFonts w:ascii="Times New Roman" w:eastAsia="Times New Roman" w:hAnsi="Times New Roman" w:cs="Times New Roman"/>
      <w:sz w:val="24"/>
      <w:szCs w:val="24"/>
      <w:lang w:eastAsia="lv-LV"/>
    </w:rPr>
  </w:style>
  <w:style w:type="character" w:customStyle="1" w:styleId="FooterChar1">
    <w:name w:val="Footer Char1"/>
    <w:link w:val="Footer"/>
    <w:uiPriority w:val="99"/>
    <w:locked/>
    <w:rsid w:val="00C53E9C"/>
    <w:rPr>
      <w:rFonts w:ascii="Times New Roman" w:eastAsia="Times New Roman" w:hAnsi="Times New Roman" w:cs="Times New Roman"/>
      <w:sz w:val="24"/>
      <w:szCs w:val="24"/>
      <w:lang w:eastAsia="lv-LV"/>
    </w:rPr>
  </w:style>
  <w:style w:type="paragraph" w:styleId="ListParagraph">
    <w:name w:val="List Paragraph"/>
    <w:aliases w:val="H&amp;P List Paragraph,2,Strip,Saraksta rindkopa1"/>
    <w:basedOn w:val="Normal"/>
    <w:link w:val="ListParagraphChar"/>
    <w:uiPriority w:val="34"/>
    <w:qFormat/>
    <w:rsid w:val="00C53E9C"/>
    <w:pPr>
      <w:spacing w:after="200" w:line="276" w:lineRule="auto"/>
      <w:ind w:left="720"/>
      <w:contextualSpacing/>
    </w:pPr>
    <w:rPr>
      <w:rFonts w:ascii="Calibri" w:hAnsi="Calibri"/>
      <w:sz w:val="22"/>
      <w:szCs w:val="22"/>
      <w:lang w:eastAsia="en-US"/>
    </w:rPr>
  </w:style>
  <w:style w:type="paragraph" w:customStyle="1" w:styleId="Standard">
    <w:name w:val="Standard"/>
    <w:rsid w:val="00C53E9C"/>
    <w:pPr>
      <w:suppressAutoHyphens/>
      <w:autoSpaceDN w:val="0"/>
      <w:spacing w:after="0" w:line="240" w:lineRule="auto"/>
    </w:pPr>
    <w:rPr>
      <w:rFonts w:ascii="Times New Roman" w:eastAsia="Calibri" w:hAnsi="Times New Roman" w:cs="Times New Roman"/>
      <w:kern w:val="3"/>
      <w:sz w:val="24"/>
    </w:rPr>
  </w:style>
  <w:style w:type="character" w:customStyle="1" w:styleId="ListParagraphChar">
    <w:name w:val="List Paragraph Char"/>
    <w:aliases w:val="H&amp;P List Paragraph Char,2 Char,Strip Char,Saraksta rindkopa1 Char"/>
    <w:link w:val="ListParagraph"/>
    <w:uiPriority w:val="34"/>
    <w:qFormat/>
    <w:locked/>
    <w:rsid w:val="00C53E9C"/>
    <w:rPr>
      <w:rFonts w:ascii="Calibri" w:eastAsia="Times New Roman" w:hAnsi="Calibri" w:cs="Times New Roma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C53E9C"/>
    <w:rPr>
      <w:rFonts w:ascii="Calibri" w:eastAsia="Calibri" w:hAnsi="Calibri"/>
      <w:sz w:val="20"/>
      <w:szCs w:val="20"/>
      <w:lang w:eastAsia="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53E9C"/>
    <w:rPr>
      <w:rFonts w:ascii="Calibri" w:eastAsia="Calibri" w:hAnsi="Calibri" w:cs="Times New Roman"/>
      <w:sz w:val="20"/>
      <w:szCs w:val="20"/>
    </w:rPr>
  </w:style>
  <w:style w:type="character" w:styleId="FootnoteReference">
    <w:name w:val="footnote reference"/>
    <w:aliases w:val="Footnote Reference Number,SUPERS,Footnote symbol,Footnote Refernece,ftref,Footnote Reference Superscript,Odwołanie przypisu,BVI fnr,Footnotes refss,Ref,de nota al pie,-E Fußnotenzeichen,Footnote reference number,E,E FNZ"/>
    <w:uiPriority w:val="99"/>
    <w:unhideWhenUsed/>
    <w:qFormat/>
    <w:rsid w:val="00C53E9C"/>
    <w:rPr>
      <w:vertAlign w:val="superscript"/>
    </w:rPr>
  </w:style>
  <w:style w:type="character" w:customStyle="1" w:styleId="naisf14ptRakstz">
    <w:name w:val="naisf + 14pt Rakstz."/>
    <w:link w:val="naisf14pt"/>
    <w:locked/>
    <w:rsid w:val="00C53E9C"/>
    <w:rPr>
      <w:sz w:val="28"/>
      <w:szCs w:val="24"/>
    </w:rPr>
  </w:style>
  <w:style w:type="paragraph" w:customStyle="1" w:styleId="naisf14pt">
    <w:name w:val="naisf + 14pt"/>
    <w:basedOn w:val="Normal"/>
    <w:link w:val="naisf14ptRakstz"/>
    <w:rsid w:val="00C53E9C"/>
    <w:pPr>
      <w:ind w:right="57" w:firstLine="709"/>
      <w:jc w:val="both"/>
    </w:pPr>
    <w:rPr>
      <w:rFonts w:asciiTheme="minorHAnsi" w:eastAsiaTheme="minorHAnsi" w:hAnsiTheme="minorHAnsi" w:cstheme="minorBidi"/>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82156-par-konceptualu-zinojumu-par-latvijas-pievienosanos-eiropas-padomes-konvencijai-par-vardarbibas-pret-sievietem-un-vardarbibas-g" TargetMode="External"/><Relationship Id="rId1" Type="http://schemas.openxmlformats.org/officeDocument/2006/relationships/hyperlink" Target="https://rm.coe.int/1680462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20370</Words>
  <Characters>11612</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Balaško</dc:creator>
  <cp:keywords/>
  <dc:description/>
  <cp:lastModifiedBy>Santa Balaško</cp:lastModifiedBy>
  <cp:revision>1</cp:revision>
  <dcterms:created xsi:type="dcterms:W3CDTF">2021-11-05T10:50:00Z</dcterms:created>
  <dcterms:modified xsi:type="dcterms:W3CDTF">2021-11-05T10:51:00Z</dcterms:modified>
</cp:coreProperties>
</file>