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24-TA-1389: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5. oktobra noteikumos Nr. 927 "Noteikumi par īpašām stabilitātes prasībām ro-ro pasažieru kuģiem"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(09.10.2010.)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veiktas izmaiņas Ministru kabineta 2010. gada 5. oktobra noteikumu Nr. 927 "Noteikumi par īpašām stabilitātes prasībām ro-ro pasažieru kuģiem" (turpmāk - noteikumi Nr. 927) vienībās, ar kurām pārņemtas Eiropas Parlamenta un Padomes 2003. gada 14. aprīļa direktīvas Nr.  2003/25/EK par īpašām stabilitātes prasībām ro-ro pasažieru kuģiem (turpmāk - direktīva Nr. 2003/25/EK), prasības (proti, prasības, kuras neparedz Eiropas Parlamenta un Padomes 2023.gada 10.maija Direktīva 2023/946, ar ko Direktīvu 2003/25/EK groza attiecībā uz uzlabotu stabilitātes prasību iekļaušanu (turpmāk - direktīva Nr. 2023/946), piemēram, tiek skaidroti šajā direktīvā skaidrotie termini "palikušie brīvsāni (fr )" un "nozīmīgs viļņu augstums (hs )", lūdzam atbilstoši papildināt noteikumu projekta anotācijas 5. sadaļu ar informāciju par konkrēto attiecīgās direktīvas Nr. 2003/25/EK prasību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5.1.sadaļa un 5.4.1.tabula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 par direktīvas Nr. 2023/946 1. panta 8. un 9. punkta pārņemšanu anotācijas 5.4. sadaļas 1. tabulā norādīta acīmredzami nekorekti. Kā arī no tabulas neizriet, kā paredzēts izpildīt prasību, ka dalībvalstis, rīkojoties ostas valsts statusā, atzīst trešo valstu izdotos sertifikātus, kuros norādīts, ka ro-ro pasažieru kuģis atbilst šajā direktīvā noteiktajām īpašajām stabilitātes prasībām. Attiecīgi nepieciešams papildināt minētajā tabulas vienībā ietverto informāciju, kā minētā prasība pēc būtības un mērķa tiek pārņemta ar noteikumu projekta 22. punktu, kas paredz, ka atzīti tiek trešo valstu sertifikāti, kas izsniegti saskaņā ar Stokholmas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ņemot vērā, ka direktīvas 2023/946 1. panta 8. punktā ietverta rīcības brīvība par sertifikātu apvienošanu ar citiem saistītiem sertifikātiem, sniegt skaidrojumu par to, vai minētā rīcības brīvība ir izmantota un kādēļ izmantota vai nav izmantota attiecīgā rīcības brīvība. Kā arī lūdzam izvērtēt un nepieciešamības gadījumā precizēt noteikumu projekta 14. punktu, ņemot vērā, ka no norādes "kam var būt pievienoti citi saistītie sertifikāti" pirmšķietami neizriet, kādi citi saistītie sertifikāti var būt pievienoti, jo no noteikumu projekta neizriet, vai apliecības tiek apvienotas ar citiem saistītiem sertifikātiem;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skaidrot, kā paredzēts pārņemt direktīvas Nr. 2023/946 (konsolidētā versija) 9. panta 2. punkta prasības. Nepieciešamības gadījumā lūdzam attiecīgi papildināt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5.5. sadaļas 2. tabulu ar informāciju par starptautisko līgumu saistību (tostarp 1974. gada Starptautiskās konvencijas par cilvēka dzīvības aizsardzību uz jūras saistību izpildi un noteikumu projekta 5., 25. un 26. punktā minētie), kuras tiek izpildītas vai ieviestas ar noteikumu projektu, norādot attiecīgo saistību būtību un šo saistību izpildei nepieciešamos pasākumus vai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 ro-ro pasažieru kuģis - kuģis, kurš pārvadā vairāk nekā 12 pasažierus un uz kura ir ro-ro kravas telpas vai īpašas kategorijas telpas, kā noteikts 1974.gada Starptautiskās konvencijas par cilvēka dzīvības aizsardzību uz jūras II-2.nodaļas 3.noteikumā;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w:t>
            </w:r>
            <w:r w:rsidR="00000000" w:rsidRPr="00000000" w:rsidDel="00000000">
              <w:rPr>
                <w:vertAlign w:val="superscript"/>
                <w:rtl w:val="0"/>
              </w:rPr>
              <w:t xml:space="preserve">1</w:t>
            </w:r>
            <w:r w:rsidR="00000000" w:rsidRPr="00000000" w:rsidDel="00000000">
              <w:rPr>
                <w:rtl w:val="0"/>
              </w:rPr>
              <w:t xml:space="preserve">1. apakšpunktu vai pamatot minētā termina skaidrošanas nepieciešamību un skaidrojuma atbilstību Jūrlietu pārvaldes un jūras drošības likumā lietotajam attiecīgajam terminam. Norādām, ka atbilstoši juridiskās tehnikas prasībām zemāka juridiskā spēka normatīvajā aktā nav pieļaujams skaidrot terminus, kuri skaidroti vai lietoti augstāka juridiskā spēka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2.</w:t>
            </w:r>
            <w:r w:rsidR="00000000" w:rsidRPr="00000000" w:rsidDel="00000000">
              <w:rPr>
                <w:vertAlign w:val="superscript"/>
                <w:rtl w:val="0"/>
              </w:rPr>
              <w:t xml:space="preserve">1</w:t>
            </w:r>
            <w:r w:rsidR="00000000" w:rsidRPr="00000000" w:rsidDel="00000000">
              <w:rPr>
                <w:rtl w:val="0"/>
              </w:rPr>
              <w:t xml:space="preserve">1.apakšpunktā minētā termina nepieciešamība un konstatēts,ka minētais termins nepieciešams, jo ar Noteikumiem Nr.927 ir pārņemtas Direktīvas 2003/25/EK prasības, tai skaitā arī  Direktīvas 2003/25/EK 2.panta a)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 ro-ro pasažieru kuģis - kuģis, kurš pārvadā vairāk nekā 12 pasažierus un uz kura ir ro-ro kravas telpas vai īpašas kategorijas telpas, kā noteikts 1974.gada Starptautiskās konvencijas par cilvēka dzīvības aizsardzību uz jūras II-2.nodaļas 3.noteikumā;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Jūras administrācija izveido un uztur to jūras rajonu sarakstu, ko šķērso ro-ro pasažieru kuģi, kuri nodrošina regulāru satiksmi uz un no Latvijas ostām, un norāda attiecīgās nozīmīgo viļņu augstumu vērtības šajos rajonos. Informāciju par jūras rajoniem un tajos piemērojamām nozīmīgo viļņu augstuma vērtībām Latvijas Jūras administrācija publicē savā tīmekļa vietnē (www.lja.lv), kā arī attiecīgo informāciju, tās publicēšanas vietni un visus atjauninātos sarakstus un šādas atjaunināšanas iemeslus paziņo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direktīvas Nr. 2023/946 1. panta 5. punktam jūras rajona saraksts ir publicējams publiskā datubāzē. Attiecīgi lūdzam izvērtēt un noteikumu projekta anotācijā skaidrot jūras rajona saraksta publicēšanas veidu, nepieciešamības gadījumā atbilstoši papildinot noteikumu projektu. Kā arī lūdzam izvērtēt un paredzēt informācijas par jūras rajoniem un tajos piemērojamām nozīmīgo viļņu augstuma vērtībām publicēšanu oficiālajā izdevumā "Latvijas Vēstnesis", ņemot vērā, ka attiecīgā gadījumā šai informācijai būs oficiālas publikācijas statuss, ko nenodrošina publikācija iestādes tīmekļvietnē, vai alternatīvi lūdzam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anotācijas 1.3.sadaļā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Jūras administrācija izveido un uztur to jūras rajonu sarakstu, ko šķērso ro-ro pasažieru kuģi, kuri nodrošina regulāru satiksmi uz un no Latvijas ostām, un norāda attiecīgās nozīmīgo viļņu augstumu vērtības šajos rajonos. Informāciju par jūras rajoniem un tajos piemērojamām nozīmīgo viļņu augstuma vērtībām Latvijas Jūras administrācija publicē savā tīmekļa vietnē (www.lja.lv), kā arī attiecīgo informāciju, tās publicēšanas vietni un visus atjauninātos sarakstus un šādas atjaunināšanas iemeslus paziņo Eiropas Komisijai.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Piemērojot šo noteikumu </w:t>
            </w:r>
            <w:r w:rsidR="00000000" w:rsidRPr="00000000" w:rsidDel="00000000">
              <w:rPr>
                <w:rtl w:val="0"/>
              </w:rPr>
              <w:t xml:space="preserve">1.</w:t>
            </w:r>
            <w:r w:rsidR="00000000" w:rsidRPr="00000000" w:rsidDel="00000000">
              <w:rPr>
                <w:rtl w:val="0"/>
              </w:rPr>
              <w:t xml:space="preserve">pielikuma A iedaļā noteiktās prasības, Kuģošanas drošības inspekcija vai klasifikācijas sabiedrība ņem vērā šo noteikumu </w:t>
            </w:r>
            <w:r w:rsidR="00000000" w:rsidRPr="00000000" w:rsidDel="00000000">
              <w:rPr>
                <w:rtl w:val="0"/>
              </w:rPr>
              <w:t xml:space="preserve">2.</w:t>
            </w:r>
            <w:r w:rsidR="00000000" w:rsidRPr="00000000" w:rsidDel="00000000">
              <w:rPr>
                <w:rtl w:val="0"/>
              </w:rPr>
              <w:t xml:space="preserve">pielikumā noteiktās vadlīnijas, ciktāl tas ir iespējams un samērojams ar attiecīgā jauna ro-ro pasažieru kuģa konstrukciju.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anotācijā, kādēļ noteikumu 927 10. punktā ietvertais nosacījums nav attiecināms uz esošiem ro-ro pasažieru kuģiem, nepieciesamības gadījumā salāgojot minēto punktu ar noteikumu projekta 2. pielikuma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Nr.927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Piemērojot šo noteikumu </w:t>
            </w:r>
            <w:r w:rsidR="00000000" w:rsidRPr="00000000" w:rsidDel="00000000">
              <w:rPr>
                <w:rtl w:val="0"/>
              </w:rPr>
              <w:t xml:space="preserve">1.</w:t>
            </w:r>
            <w:r w:rsidR="00000000" w:rsidRPr="00000000" w:rsidDel="00000000">
              <w:rPr>
                <w:rtl w:val="0"/>
              </w:rPr>
              <w:t xml:space="preserve">pielikuma A iedaļā noteiktās prasības šo noteikumu </w:t>
            </w:r>
            <w:r w:rsidR="00000000" w:rsidRPr="00000000" w:rsidDel="00000000">
              <w:rPr>
                <w:rtl w:val="0"/>
              </w:rPr>
              <w:t xml:space="preserve">8.</w:t>
            </w:r>
            <w:r w:rsidR="00000000" w:rsidRPr="00000000" w:rsidDel="00000000">
              <w:rPr>
                <w:rtl w:val="0"/>
              </w:rPr>
              <w:t xml:space="preserve"> un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minētajiem kuģiem, Kuģošanas drošības inspekcija vai klasifikācijas sabiedrība ņem vērā šo noteikumu </w:t>
            </w:r>
            <w:r w:rsidR="00000000" w:rsidRPr="00000000" w:rsidDel="00000000">
              <w:rPr>
                <w:rtl w:val="0"/>
              </w:rPr>
              <w:t xml:space="preserve">2.</w:t>
            </w:r>
            <w:r w:rsidR="00000000" w:rsidRPr="00000000" w:rsidDel="00000000">
              <w:rPr>
                <w:rtl w:val="0"/>
              </w:rPr>
              <w:t xml:space="preserve">pielikumā noteiktās vadlīnijas, ciktāl tas ir iespējams un samērojams ar attiecīgā ro-ro pasažieru kuģa konstrukciju.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Kuģa atbilstību novērtē un šo noteikumu </w:t>
            </w:r>
            <w:r w:rsidR="00000000" w:rsidRPr="00000000" w:rsidDel="00000000">
              <w:rPr>
                <w:rtl w:val="0"/>
              </w:rPr>
              <w:t xml:space="preserve">12.</w:t>
            </w:r>
            <w:r w:rsidR="00000000" w:rsidRPr="00000000" w:rsidDel="00000000">
              <w:rPr>
                <w:rtl w:val="0"/>
              </w:rPr>
              <w:t xml:space="preserve">punktā noteikto apliecību izsniedz saskaņā ar šo noteikumu </w:t>
            </w:r>
            <w:r w:rsidR="00000000" w:rsidRPr="00000000" w:rsidDel="00000000">
              <w:rPr>
                <w:rtl w:val="0"/>
              </w:rPr>
              <w:t xml:space="preserve">1.</w:t>
            </w:r>
            <w:r w:rsidR="00000000" w:rsidRPr="00000000" w:rsidDel="00000000">
              <w:rPr>
                <w:rtl w:val="0"/>
              </w:rPr>
              <w:t xml:space="preserve">pielikuma 2.nodaļu.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1. pielikuma 2. nodaļā pirmšķietami nav norādīta apliecību izsniegšanas kārtība vai kritēriji, tādēļ lūdzam izvērtēt un precizēt noteikumu projekta 13. punktu, nodrošinot precīzu atsauci uz šo noteikumu normām, vai 1. pielikuma 2.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Projekta 20.punkts.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Kuģa atbilstību</w:t>
            </w:r>
            <w:r w:rsidR="00000000" w:rsidRPr="00000000" w:rsidDel="00000000">
              <w:rPr>
                <w:b w:val="1"/>
                <w:rtl w:val="0"/>
              </w:rPr>
              <w:t xml:space="preserve"> šo noteikumu </w:t>
            </w:r>
            <w:r w:rsidR="00000000" w:rsidRPr="00000000" w:rsidDel="00000000">
              <w:rPr>
                <w:b w:val="1"/>
                <w:rtl w:val="0"/>
              </w:rPr>
              <w:t xml:space="preserve">12.</w:t>
            </w:r>
            <w:r w:rsidR="00000000" w:rsidRPr="00000000" w:rsidDel="00000000">
              <w:rPr>
                <w:b w:val="1"/>
                <w:rtl w:val="0"/>
              </w:rPr>
              <w:t xml:space="preserve">punktā noteiktās apliecības izsniegšanai novērtē </w:t>
            </w:r>
            <w:r w:rsidR="00000000" w:rsidRPr="00000000" w:rsidDel="00000000">
              <w:rPr>
                <w:rtl w:val="0"/>
              </w:rPr>
              <w:t xml:space="preserve">saskaņā ar šo noteikumu </w:t>
            </w:r>
            <w:r w:rsidR="00000000" w:rsidRPr="00000000" w:rsidDel="00000000">
              <w:rPr>
                <w:rtl w:val="0"/>
              </w:rPr>
              <w:t xml:space="preserve">1.</w:t>
            </w:r>
            <w:r w:rsidR="00000000" w:rsidRPr="00000000" w:rsidDel="00000000">
              <w:rPr>
                <w:rtl w:val="0"/>
              </w:rPr>
              <w:t xml:space="preserve">pielikuma 2.nodaļu.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Latvija, darbojoties ostas valsts statusā, atzīst citu Eiropas Savienības dalībvalstu sertifikātus, kas izsniegti saskaņā ar Eiropas Parlamenta un Padomes 2003.gada 14.aprīļa Direktīvu (EK) Nr.2003/25 par īpašām stabilitātes prasībām ro-ro pasažieru kuģiem, kā arī trešo valstu sertifikātus, kas izsniegti saskaņā ar Stokholmas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tieši neatsaucoties uz attiecīgās direktīvas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Latvija, darbojoties ostas valsts statusā, atzīst citu Eiropas Savienības dalībvalstu sertifikātus, kas izsniegti saskaņā ar tās normatīvajiem aktiem, ar kuriem pārņemtas Eiropas Parlamenta un Padomes 2003.gada 14.aprīļa Direktīvas (EK) Nr.2003/25 par īpašām stabilitātes prasībām ro-ro pasažieru kuģiem, kā arī trešo valstu sertifikātus, kas izsniegti saskaņā ar Stokholmas līgumu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22.punkts.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Latvija, darbojoties ostas valsts statusā, atzīst citu Eiropas Savienības dalībvalstu sertifikātus, kas izsniegti saskaņā ar tās normatīvajiem aktiem, ar kuriem pārņemta Eiropas Parlamenta un Padomes 2003.gada 14.aprīļa Direktīva (EK) Nr.2003/25 par īpašām stabilitātes prasībām ro-ro pasažieru kuģiem, kā arī trešo valstu sertifikātus, kuros norādīts, ka ro-ro pasažieru kuģis atbilst Eiropas Parlamenta un Padomes 2003.gada 14.aprīļa Direktīvas (EK) Nr.2003/25 par īpašām stabilitātes prasībām ro-ro pasažieru kuģiem noteiktajām īpašajām stabilitātes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sabiedrība, kas nodrošina regulārus reisus visu gadu, vēlas uz kādu īsāku laikposmu šīs satiksmes nodrošināšanā iesaistīt papildu ro-ro pasažieru kuģus, tā informē Latvijas Jūras administrāciju un ostas valsts vai valstu kompetentās iestādes ne vēlāk kā mēnesi pirms minēto papildu kuģu iesaistīšanas attiecīgajos reisos.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noteikumu Nr. 927 VI nodaļā "Sezonas un īstermiņa pārvadājumi" paredzētajos gadījumos Latvijas Jūras administrācijai jāsniedz atļauja pārvadājumu veikšanai. Nepieciešamības gadījumā tiesiskās noteiktības nolūkā lūdzam atbilstoši papildināt noteikumu projektu ar attiecīgu regulējumu, ievērojot arī direktīvas Nr. 2003/25/EK (konsolidētās versijas) 9. panta 5. punktā minēto par kompetentās iestādes piekrišanas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Nr.927 VI.nodaļa "Sezonas un īstermiņa pārvadājumi".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sabiedrība, kas nodrošina regulārus reisus visu gadu, vēlas uz kādu īsāku laikposmu šīs satiksmes nodrošināšanā iesaistīt papildu ro-ro pasažieru kuģus, tā informē Latvijas Jūras administrāciju un ostas valsts vai valstu kompetentās iestādes ne vēlāk kā mēnesi pirms minēto papildu kuģu iesaistīšanas attiecīgajos reisos.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"regulārus reisus" ar vārdiem "regulāru satiksmi", ievērojot direktīvas Nr. 2023/946 1. panta 9. punktā noteikto. Alternatīvi skaidrot noteikumu projekta anotācijā, kā, konkrētajā gadījumā atsaucoties uz reisiem, nevis satiksmi, pēc būtības un mērķa tiek pārņemta attiecīgā minētās direktīvas prasība. Līdzīgi lūdzam precizēt noteikumu Nr. 927 17.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23.punkts.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šo noteikumu </w:t>
            </w:r>
            <w:r w:rsidR="00000000" w:rsidRPr="00000000" w:rsidDel="00000000">
              <w:rPr>
                <w:rtl w:val="0"/>
              </w:rPr>
              <w:t xml:space="preserve">17.</w:t>
            </w:r>
            <w:r w:rsidR="00000000" w:rsidRPr="00000000" w:rsidDel="00000000">
              <w:rPr>
                <w:rtl w:val="0"/>
              </w:rPr>
              <w:t xml:space="preserve">punktā minētos pārvadājumus veic laikā, kad nozīmīgo viļņu augstums ir zemāks nekā šim jūras rajonam noteiktā nozīmīgo viļņu augstuma vērtība, ūdens līmeņa augstuma noteikšanai uz klāja izmanto to nozīmīgo viļņu augstuma vērtību, kas piemērojama šim īsākajam laikposmam, saskaņā ar Latvijas Republikā spēkā esošajiem starptautiskajiem līgumiem.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anotācijā, vai nozīmīgo viļņu augstuma vērtību nosaka Latvijas Republikā spēkā esošā starptautiskā līgumā vai to nosaka Latvijas Jūras administrācija, vienojoties ar valstīm, kuru ostas ir iekļautas kuģa maršrutā. Nepieciešamības gadījumā lūdzam atbilstoši salāgot noteikumu Nr. 927 18. punktu u.c. minēto noteikumu pamatteksta vienības ar I pielikumā noteikto. Papildus lūdzam anotācijā arī skaidrot, vai iepriekš minētie starptautiskie līgumi jau ir stājušies spēkā, attiecīgā gadījumā anotācijā minot konkrētus līgumus.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16.</w:t>
            </w:r>
            <w:r w:rsidR="00000000" w:rsidRPr="00000000" w:rsidDel="00000000">
              <w:rPr>
                <w:vertAlign w:val="superscript"/>
                <w:rtl w:val="0"/>
              </w:rPr>
              <w:t xml:space="preserve">1 </w:t>
            </w:r>
            <w:r w:rsidR="00000000" w:rsidRPr="00000000" w:rsidDel="00000000">
              <w:rPr>
                <w:rtl w:val="0"/>
              </w:rPr>
              <w:t xml:space="preserve"> un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​​​​​​minētos pārvadājumus veic laikā, kad nozīmīgo viļņu augstums ir zemāks nekā šim jūras rajonam noteiktā nozīmīgo viļņu augstuma vērtība, ūdens līmeņa augstuma noteikšanai uz klāja izmanto to nozīmīgo viļņu augstuma vērtību, kas piemērojama šim īsākajam laikposmam, saskaņā ar Latvijas Republikā spēkā esošajiem starptautiskajiem līgumiem.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šo noteikumu </w:t>
            </w:r>
            <w:r w:rsidR="00000000" w:rsidRPr="00000000" w:rsidDel="00000000">
              <w:rPr>
                <w:rtl w:val="0"/>
              </w:rPr>
              <w:t xml:space="preserve">17.</w:t>
            </w:r>
            <w:r w:rsidR="00000000" w:rsidRPr="00000000" w:rsidDel="00000000">
              <w:rPr>
                <w:rtl w:val="0"/>
              </w:rPr>
              <w:t xml:space="preserve">punktā minētos pārvadājumus veic laikā, kad nozīmīgo viļņu augstums ir zemāks nekā šim jūras rajonam noteiktā nozīmīgo viļņu augstuma vērtība, ūdens līmeņa augstuma noteikšanai uz klāja izmanto to nozīmīgo viļņu augstuma vērtību, kas piemērojama šim īsākajam laikposmam, saskaņā ar Latvijas Republikā spēkā esošajiem starptautiskajiem līgumiem.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25. punktu, tostarp šajā punktā atsaucoties, ne vien uz noteikumu Nr. 927 17. punktu, bet arī 16. punktu vai alternatīvi lūdzam sniegt pamatotu skaidrojumu par minētā noteikumu projekta punkta atbilstību direktīvas Nr.2003/25 (konsolidētās) versijas 9. panta 4.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26.punkts.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16.</w:t>
            </w:r>
            <w:r w:rsidR="00000000" w:rsidRPr="00000000" w:rsidDel="00000000">
              <w:rPr>
                <w:vertAlign w:val="superscript"/>
                <w:rtl w:val="0"/>
              </w:rPr>
              <w:t xml:space="preserve">1 </w:t>
            </w:r>
            <w:r w:rsidR="00000000" w:rsidRPr="00000000" w:rsidDel="00000000">
              <w:rPr>
                <w:rtl w:val="0"/>
              </w:rPr>
              <w:t xml:space="preserve"> un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​​​​​​minētos pārvadājumus veic laikā, kad nozīmīgo viļņu augstums ir zemāks nekā šim jūras rajonam noteiktā nozīmīgo viļņu augstuma vērtība, ūdens līmeņa augstuma noteikšanai uz klāja izmanto to nozīmīgo viļņu augstuma vērtību, kas piemērojama šim īsākajam laikposmam, saskaņā ar Latvijas Republikā spēkā esošajiem starptautiskajiem līgumiem.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Esošie ro-ro pasažieru kuģi, kas veic regulāru satiksmi uz Eiropas Savienības dalībvalsts ostu vai no tās līdz 2024.gada 5.decembrim, turpina atbilst īpašajām stabilitātes prasībām, kas noteiktas Eiropas Parlamenta un Padomes 2003.gada 14.aprīļa Direktīvas (EK) Nr.2003/25 par īpašām stabilitātes prasībām ro-ro pasažieru kuģiem I pielikuma redakcijā, kas tika piemērota pirms Eiropas Parlamenta un Padomes Direktīvas (ES) 2023/946 ar ko Direktīvu 2003/25/EK groza attiecībā uz uzlabotu stabilitātes prasību iekļaušanu un minētās direktīvas saskaņošanu ar Starptautiskās Jūrniecības organizācijas noteiktajām stabilitātes prasībām stāšanās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Līguma par Eiropas Savienības darbību 288. panta trešo daļu direktīvas tām dalībvalstīm, kurām tās adresētas, uzliek saistības attiecībā uz sasniedzamo rezultātu, bet ļauj šo valstu varasiestādēm noteikt to īstenošanas formas un metodes. Attiecīgi, ņemot vērā, ka direktīvas nav tieši piemērojamas, bet tās ir jāpārņem dalībvalstu tiesību aktos, sasniedzot direktīvā paredzēto mērķi, lūdzam svītrot noteikumu projektā ietvertās atsauces (izņemot informatīvo atsauci) uz direktīvām (piemēram, 27., 32. u.c. minētās atsauces), tā vietā atsaucoties uz normatīvajiem aktiem (to jomu), ar kuriem minētās direktīvas ir 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28. un 33.punkts.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Esošie ro-ro pasažieru kuģi, kas veic regulāru satiksmi uz Eiropas Savienības dalībvalsts ostu vai no tās līdz 2024.gada 5.decembrim, turpina atbilst īpašajām stabilitātes prasībām, kas noteiktas šo noteikumu IV nodaļas un 1.pielikuma redakcijā, kas bija spēkā līdz 2024.gada 4.decembrim.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7.5.sadaļu ar informāciju, ka projekts tiks realizēts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7.5.sadaļa.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sabiedrības ar ierobežotu atbildību "Latvijas Jūras administrācija" (turpmāk – Latvijas Jūras administrācija) Kuģošanas drošības inspekcija (turpmāk - Kuģošanas drošības inspekcija) vai atzīta kuģu klasifikācijas sabiedrība, ar kuru Latvijas Jūras administrācija ir noslēgusi pilnvarojuma līgumu (turpmāk – klasifikācijas sabiedrība), pārbauda, lai ro-ro pasažieru kuģi (neatkarīgi no to karoga valsts) pirms tos var izmantot regulārā satiksmē reisos no Latvijas ostām vai uz tām pilnībā atbilstu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 punktu papildināt pēc vārda "prasībām" ar vārdiem "saskaņā ar normatīvajiem aktiem par ro-ro pasažieru kuģu un ātrgaitas pasažieru kuģu drošību" atbilstoši direktīvas Nr. 2023/946 1. panta 2.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Nav nepieciešams papildināt.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sabiedrības ar ierobežotu atbildību "Latvijas Jūras administrācija" (turpmāk – Latvijas Jūras administrācija) Kuģošanas drošības inspekcija (turpmāk - Kuģošanas drošības inspekcija) vai atzīta kuģu klasifikācijas sabiedrība, ar kuru Latvijas Jūras administrācija ir noslēgusi pilnvarojuma līgumu (turpmāk – klasifikācijas sabiedrība), pārbauda, lai ro-ro pasažieru kuģi (neatkarīgi no to karoga valsts) pirms tos var izmantot regulārā satiksmē reisos no Latvijas ostām vai uz tām pilnībā atbilstu šo noteikumu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10. īpašās stabilitātes prasības - šo noteikumu </w:t>
            </w:r>
            <w:r w:rsidR="00000000" w:rsidRPr="00000000" w:rsidDel="00000000">
              <w:rPr>
                <w:rtl w:val="0"/>
              </w:rPr>
              <w:t xml:space="preserve">IV</w:t>
            </w:r>
            <w:r w:rsidR="00000000" w:rsidRPr="00000000" w:rsidDel="00000000">
              <w:rPr>
                <w:rtl w:val="0"/>
              </w:rPr>
              <w:t xml:space="preserve">. nodaļā minētās stabilitātes prasības, ja tās tiek lietotas kā kopīgs termins;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Nr. 927 2.</w:t>
            </w:r>
            <w:r w:rsidR="00000000" w:rsidRPr="00000000" w:rsidDel="00000000">
              <w:rPr>
                <w:vertAlign w:val="superscript"/>
                <w:rtl w:val="0"/>
              </w:rPr>
              <w:t xml:space="preserve">1</w:t>
            </w:r>
            <w:r w:rsidR="00000000" w:rsidRPr="00000000" w:rsidDel="00000000">
              <w:rPr>
                <w:rtl w:val="0"/>
              </w:rPr>
              <w:t xml:space="preserve">10. apakšpunktu, jo attiecīgo terminu nav nepieciešams skaidrot, bet var tiešā veidā atsaukties uz šo noteikumu IV. nodaļā minētajām stabilitātes prasībām. Alternatīvi lūdzam pamatot noteikumu projekta anotācijā, kādēļ nepieciešams skaidrot minēto terminu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2.</w:t>
            </w:r>
            <w:r w:rsidR="00000000" w:rsidRPr="00000000" w:rsidDel="00000000">
              <w:rPr>
                <w:vertAlign w:val="superscript"/>
                <w:rtl w:val="0"/>
              </w:rPr>
              <w:t xml:space="preserve">1</w:t>
            </w:r>
            <w:r w:rsidR="00000000" w:rsidRPr="00000000" w:rsidDel="00000000">
              <w:rPr>
                <w:rtl w:val="0"/>
              </w:rPr>
              <w:t xml:space="preserve">10.apakšpunktā minētais termins ir Direktīvas 2023/946 2.panta k) apakšpunktā minētais termins, ko ir nepieciešams ietvert Noteikumos Nr.927.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10. īpašās stabilitātes prasības - šo noteikumu </w:t>
            </w:r>
            <w:r w:rsidR="00000000" w:rsidRPr="00000000" w:rsidDel="00000000">
              <w:rPr>
                <w:rtl w:val="0"/>
              </w:rPr>
              <w:t xml:space="preserve">IV</w:t>
            </w:r>
            <w:r w:rsidR="00000000" w:rsidRPr="00000000" w:rsidDel="00000000">
              <w:rPr>
                <w:rtl w:val="0"/>
              </w:rPr>
              <w:t xml:space="preserve"> nodaļā minētās stabilitātes prasības, ja tās tiek lietotas kā kopīgs termins;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Piemērojot šo noteikumu </w:t>
            </w:r>
            <w:r w:rsidR="00000000" w:rsidRPr="00000000" w:rsidDel="00000000">
              <w:rPr>
                <w:rtl w:val="0"/>
              </w:rPr>
              <w:t xml:space="preserve">1.</w:t>
            </w:r>
            <w:r w:rsidR="00000000" w:rsidRPr="00000000" w:rsidDel="00000000">
              <w:rPr>
                <w:rtl w:val="0"/>
              </w:rPr>
              <w:t xml:space="preserve">pielikuma A iedaļā noteiktās prasības </w:t>
            </w:r>
            <w:r w:rsidR="00000000" w:rsidRPr="00000000" w:rsidDel="00000000">
              <w:rPr>
                <w:b w:val="1"/>
                <w:rtl w:val="0"/>
              </w:rPr>
              <w:t xml:space="preserve">šo noteikumu </w:t>
            </w:r>
            <w:r w:rsidR="00000000" w:rsidRPr="00000000" w:rsidDel="00000000">
              <w:rPr>
                <w:b w:val="1"/>
                <w:rtl w:val="0"/>
              </w:rPr>
              <w:t xml:space="preserve">8.</w:t>
            </w:r>
            <w:r w:rsidR="00000000" w:rsidRPr="00000000" w:rsidDel="00000000">
              <w:rPr>
                <w:b w:val="1"/>
                <w:rtl w:val="0"/>
              </w:rPr>
              <w:t xml:space="preserve"> un </w:t>
            </w:r>
            <w:r w:rsidR="00000000" w:rsidRPr="00000000" w:rsidDel="00000000">
              <w:rPr>
                <w:b w:val="1"/>
                <w:rtl w:val="0"/>
              </w:rPr>
              <w:t xml:space="preserve">9. </w:t>
            </w:r>
            <w:r w:rsidR="00000000" w:rsidRPr="00000000" w:rsidDel="00000000">
              <w:rPr>
                <w:b w:val="1"/>
                <w:rtl w:val="0"/>
              </w:rPr>
              <w:t xml:space="preserve">punktā</w:t>
            </w:r>
            <w:r w:rsidR="00000000" w:rsidRPr="00000000" w:rsidDel="00000000">
              <w:rPr>
                <w:rtl w:val="0"/>
              </w:rPr>
              <w:t xml:space="preserve"> </w:t>
            </w:r>
            <w:r w:rsidR="00000000" w:rsidRPr="00000000" w:rsidDel="00000000">
              <w:rPr>
                <w:b w:val="1"/>
                <w:rtl w:val="0"/>
              </w:rPr>
              <w:t xml:space="preserve">minētajiem kuģiem</w:t>
            </w:r>
            <w:r w:rsidR="00000000" w:rsidRPr="00000000" w:rsidDel="00000000">
              <w:rPr>
                <w:rtl w:val="0"/>
              </w:rPr>
              <w:t xml:space="preserve">, Kuģošanas drošības inspekcija vai klasifikācijas sabiedrība ņem vērā šo noteikumu </w:t>
            </w:r>
            <w:r w:rsidR="00000000" w:rsidRPr="00000000" w:rsidDel="00000000">
              <w:rPr>
                <w:rtl w:val="0"/>
              </w:rPr>
              <w:t xml:space="preserve">2.</w:t>
            </w:r>
            <w:r w:rsidR="00000000" w:rsidRPr="00000000" w:rsidDel="00000000">
              <w:rPr>
                <w:rtl w:val="0"/>
              </w:rPr>
              <w:t xml:space="preserve">pielikumā noteiktās vadlīnijas, ciktāl tas ir iespējams un samērojams ar attiecīgā jauna ro-ro pasažieru kuģa konstrukciju.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6. punktā ietverto iebildumu lūdzam atbilstoši precizēt vai sniegt noteikumu projekta anotācijā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Piemērojot šo noteikumu 1.pielikuma A iedaļā noteiktās prasības šo noteikumu 8. un 9. punktā minētajiem kuģiem, Kuģošanas drošības inspekcija vai klasifikācijas sabiedrība ņem vērā šo noteikumu 2.pielikumā noteiktās vadlīnijas, ciktāl tas ir iespējams un samērojams ar attiecīgā ro-ro pasažieru kuģa konstrukciju."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13.punkts (Noteikumu Nr.927 nākotnes redakcijas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Piemērojot šo noteikumu </w:t>
            </w:r>
            <w:r w:rsidR="00000000" w:rsidRPr="00000000" w:rsidDel="00000000">
              <w:rPr>
                <w:rtl w:val="0"/>
              </w:rPr>
              <w:t xml:space="preserve">1.</w:t>
            </w:r>
            <w:r w:rsidR="00000000" w:rsidRPr="00000000" w:rsidDel="00000000">
              <w:rPr>
                <w:rtl w:val="0"/>
              </w:rPr>
              <w:t xml:space="preserve">pielikuma A iedaļā noteiktās prasības šo noteikumu </w:t>
            </w:r>
            <w:r w:rsidR="00000000" w:rsidRPr="00000000" w:rsidDel="00000000">
              <w:rPr>
                <w:rtl w:val="0"/>
              </w:rPr>
              <w:t xml:space="preserve">8.</w:t>
            </w:r>
            <w:r w:rsidR="00000000" w:rsidRPr="00000000" w:rsidDel="00000000">
              <w:rPr>
                <w:rtl w:val="0"/>
              </w:rPr>
              <w:t xml:space="preserve"> un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minētajiem kuģiem, Kuģošanas drošības inspekcija vai klasifikācijas sabiedrība ņem vērā šo noteikumu </w:t>
            </w:r>
            <w:r w:rsidR="00000000" w:rsidRPr="00000000" w:rsidDel="00000000">
              <w:rPr>
                <w:rtl w:val="0"/>
              </w:rPr>
              <w:t xml:space="preserve">2.</w:t>
            </w:r>
            <w:r w:rsidR="00000000" w:rsidRPr="00000000" w:rsidDel="00000000">
              <w:rPr>
                <w:rtl w:val="0"/>
              </w:rPr>
              <w:t xml:space="preserve">pielikumā noteiktās vadlīnijas, ciktāl tas ir iespējams un samērojams ar attiecīgā ro-ro pasažieru kuģa konstrukciju.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Latvija, darbojoties ostas valsts statusā, atzīst citu Eiropas Savienības dalībvalstu sertifikātus, </w:t>
            </w:r>
            <w:r w:rsidR="00000000" w:rsidRPr="00000000" w:rsidDel="00000000">
              <w:rPr>
                <w:b w:val="1"/>
                <w:rtl w:val="0"/>
              </w:rPr>
              <w:t xml:space="preserve">kas izsniegti saskaņā ar tās normatīvajiem aktiem, ar kuriem pārņemtas </w:t>
            </w:r>
            <w:r w:rsidR="00000000" w:rsidRPr="00000000" w:rsidDel="00000000">
              <w:rPr>
                <w:rtl w:val="0"/>
              </w:rPr>
              <w:t xml:space="preserve">Eiropas Parlamenta un Padomes 2003.gada 14.aprīļa </w:t>
            </w:r>
            <w:r w:rsidR="00000000" w:rsidRPr="00000000" w:rsidDel="00000000">
              <w:rPr>
                <w:b w:val="1"/>
                <w:rtl w:val="0"/>
              </w:rPr>
              <w:t xml:space="preserve">Direktīvas </w:t>
            </w:r>
            <w:r w:rsidR="00000000" w:rsidRPr="00000000" w:rsidDel="00000000">
              <w:rPr>
                <w:rtl w:val="0"/>
              </w:rPr>
              <w:t xml:space="preserve">(EK) Nr.2003/25 par īpašām stabilitātes prasībām ro-ro pasažieru kuģiem, kā arī trešo valstu sertifikātus, </w:t>
            </w:r>
            <w:r w:rsidR="00000000" w:rsidRPr="00000000" w:rsidDel="00000000">
              <w:rPr>
                <w:b w:val="1"/>
                <w:rtl w:val="0"/>
              </w:rPr>
              <w:t xml:space="preserve">kuros norādīts, ka ro-ro pasažieru kuģis atbilst Eiropas Parlamenta un Padomes 2003.gada 14.aprīļa Direktīvas (EK) Nr.2003/25 par īpašām stabilitātes prasībām ro-ro pasažieru kuģiem noteiktajām īpašajām stabilitātes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salāgot noteikumu projekta 34. punktu ar 19. punktu, ņemot vērā, ka no noteikumu projekta 19. punkta izriet, ka kuģa atbilstība tiek apliecināta pret šo noteikumu IV nodaļā un 1.pielikumā, nevis tostarp pret direktīvā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skaidrot, vai trešo valstu sertifikātu atzīšanai saskaņā ar noteikumu projekta 22. punktu ir obligāti sertifikātā izdarīt atsauci uz Parlamenta un Padomes 2003. gada 14. aprīļa Direktīvu (EK) Nr.2003/25 par īpašām stabilitātes prasībām ro-ro pasažieru kuģiem noteiktajām īpašajām stabilitātes prasībām vai, piemēram, ir pietiekami atsaukties uz normatīvajiem aktiem, ar kuriem šīs direktīvas prasības ir pārņemtas. Nepieciešamības gadījumā lūdzam precizēt 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Kuģa atbilstība tiek apliecināta atbilstoši Eiropas Parlamenta un Padomes 2003.gada 14.aprīļa Direktīvas (EK) Nr.2003/25 par īpašām stabilitātes prasībām ro-ro pasažieru kuģiem noteiktajām īpašajām stabilitātes prasībām, attiecīgi kura tiek pārņemta ar Noteikumiem Nr.927.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atzītu trešo valstu izdotos sertifikātus, ro-ro pasažieru kuģim ir jāatbilst Eiropas Parlamenta un Padomes 2003.gada 14.aprīļa Direktīvas (EK) Nr.2003/25 par īpašām stabilitātes prasībām ro-ro pasažieru kuģiem noteiktajām īpašajām stabilitātes prasībām, līdz ar to atsauce ir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Latvija, darbojoties ostas valsts statusā, atzīst citu Eiropas Savienības dalībvalstu sertifikātus, kas izsniegti saskaņā ar tās normatīvajiem aktiem, ar kuriem pārņemta Eiropas Parlamenta un Padomes 2003.gada 14.aprīļa Direktīva (EK) Nr.2003/25 par īpašām stabilitātes prasībām ro-ro pasažieru kuģiem, kā arī trešo valstu sertifikātus, kuros norādīts, ka ro-ro pasažieru kuģis atbilst Eiropas Parlamenta un Padomes 2003.gada 14.aprīļa Direktīvas (EK) Nr.2003/25 par īpašām stabilitātes prasībām ro-ro pasažieru kuģiem noteiktajām īpašajām stabilitātes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Gadījumos, kad neparedzētu apstākļu dēļ ro-ro pasažieru kuģis ir steidzami jāaizstāj, lai nodrošinātu nepārtrauktu satiksmi,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noteiktā paziņošanas pienākuma vietā piemēro noteikumu par ostas valsts kontroles kārtību 15.pielikuma 1.3.noteikuma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ņemot vērā izdarīto atsauci uz attiecīgo noteikumu 15. pielikuma 1.3. noteikumu, aizstāt norādi "noteikumu par ostas valsts kontroles kārtību" (proti, atsauci uz normatīvo aktu jomu) ar atsauci uz konkrētiem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24.punkts (nākotnes redakcijas 16.</w:t>
            </w:r>
            <w:r w:rsidR="00000000" w:rsidRPr="00000000" w:rsidDel="00000000">
              <w:rPr>
                <w:vertAlign w:val="superscript"/>
                <w:rtl w:val="0"/>
              </w:rPr>
              <w:t xml:space="preserve">1</w:t>
            </w:r>
            <w:r w:rsidR="00000000" w:rsidRPr="00000000" w:rsidDel="00000000">
              <w:rPr>
                <w:rtl w:val="0"/>
              </w:rPr>
              <w:t xml:space="preserve"> punkts). Sniegts skaidrojums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Gadījumos, kad neparedzētu apstākļu dēļ ro-ro pasažieru kuģis ir steidzami jāaizstāj, lai nodrošinātu nepārtrauktu satiksmi,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noteiktā paziņošanas pienākuma vietā piemēro normatīvajos aktos par ostas valsts kontroles kārtību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Esošie ro-ro pasažieru kuģi, kas veic regulāru satiksmi uz Eiropas Savienības dalībvalsts ostu vai no tās līdz 2024.gada 5.decembrim, turpina atbilst īpašajām stabilitātes prasībām, </w:t>
            </w:r>
            <w:r w:rsidR="00000000" w:rsidRPr="00000000" w:rsidDel="00000000">
              <w:rPr>
                <w:b w:val="1"/>
                <w:rtl w:val="0"/>
              </w:rPr>
              <w:t xml:space="preserve">kas noteiktas šo noteikumu IV.nodaļas un 1.pielikuma redakcijā, kas bija spēkā pirms šo noteikumu IV.nodaļas un 1.pielikuma jaunās redakcijas spēkā stāšanās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norādi "pirms šo noteikumu IV. nodaļas un 1. pielikuma jaunās redakcijas spēkā stāšanās dienas" aizstāt ar konkrētu datumu, kas atbilst paredzētajai noteikumu projekta spēkā stāšanās dienai.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Esošie ro-ro pasažieru kuģi, kas veic regulāru satiksmi uz Eiropas Savienības dalībvalsts ostu vai no tās līdz 2024.gada 5.decembrim, turpina atbilst īpašajām stabilitātes prasībām, kas noteiktas šo noteikumu IV nodaļas un 1.pielikuma redakcijā, kas bija spēkā līdz 2024.gada 4.decembrim.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24-TA-1389</w:t>
    </w:r>
    <w:r>
      <w:br/>
    </w:r>
    <w:r w:rsidR="00000000" w:rsidRPr="00000000" w:rsidDel="00000000">
      <w:rPr>
        <w:rtl w:val="0"/>
      </w:rPr>
      <w:t xml:space="preserve">09.10.2024. 16.12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24-TA-1389</w:t>
    </w:r>
    <w:r>
      <w:br/>
    </w:r>
    <w:r w:rsidR="00000000" w:rsidRPr="00000000" w:rsidDel="00000000">
      <w:rPr>
        <w:rtl w:val="0"/>
      </w:rPr>
      <w:t xml:space="preserve">09.10.2024. 16.12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Izziņa_24-TA-1389.docx</dc:title>
</cp:coreProperties>
</file>

<file path=docProps/custom.xml><?xml version="1.0" encoding="utf-8"?>
<Properties xmlns="http://schemas.openxmlformats.org/officeDocument/2006/custom-properties" xmlns:vt="http://schemas.openxmlformats.org/officeDocument/2006/docPropsVTypes"/>
</file>