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25-TA-2273: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4.2.1.1. pasākuma "Infrastruktūras izveide starpnozaru sadarbības un atbalsta sistēmas izveidei bērnu attīstībai"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06.02.2026. 08:30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Projekta iesniegumā pasākuma īstenošanai kopējo attiecināmo finansējumu plāno 4 350 000 </w:t>
            </w:r>
            <w:r w:rsidR="00000000" w:rsidRPr="00000000" w:rsidDel="00000000">
              <w:rPr>
                <w:i w:val="1"/>
                <w:rtl w:val="0"/>
              </w:rPr>
              <w:t xml:space="preserve">euro </w:t>
            </w:r>
            <w:r w:rsidR="00000000" w:rsidRPr="00000000" w:rsidDel="00000000">
              <w:rPr>
                <w:rtl w:val="0"/>
              </w:rPr>
              <w:t xml:space="preserve">apmērā, tai skaitā Eiropas Reģionālās attīstības fonda finansējumu – 3 697 500 </w:t>
            </w:r>
            <w:r w:rsidR="00000000" w:rsidRPr="00000000" w:rsidDel="00000000">
              <w:rPr>
                <w:i w:val="1"/>
                <w:rtl w:val="0"/>
              </w:rPr>
              <w:t xml:space="preserve">euro </w:t>
            </w:r>
            <w:r w:rsidR="00000000" w:rsidRPr="00000000" w:rsidDel="00000000">
              <w:rPr>
                <w:rtl w:val="0"/>
              </w:rPr>
              <w:t xml:space="preserve">apmērā un valsts budžeta līdzfinansējumu – 652 500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saņemts Eiropas Komisijas lēmums par vidusposma pārskatu un apstiprināti attiecīgie Kohēzijas politikas programmas 2021.–2027. gada grozījumi, kas palielina pasākumam pieejamo finansējumu (precizēts 7. punkts), lūdzam svītrot 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Finansējuma saņēmējs ar sadarbības partneri slēdz sadarbības līgumu. Ja uz projekta iesnieguma iesniegšanas dienu sadarbības līgums nav noslēgts, projekta iesniegumam pievieno finansējuma saņēmēja un sadarbības partnera noslēgtu nodomu protokolu. Sadarbības līgumā iekļauj informāciju atbilstoši normatīvajiem aktiem par kārtību, kādā Eiropas Savienības fondu vadībā iesaistītās institūcijas nodrošina šo fondu ieviešanu 2021.–2027. gada plānošanas periodā, un vismaz šādu informāciju par sadarbības partnera pienākumiem: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pasākuma īstenošanas nosacījumi paredz, ka sadarbības partneriem (ārstniecības iestādēm) jānodrošina rezultātu ilgtspēju vismaz piecus gadus pēc projekta pabeigšanas. Lūdzam sadarbības līgumos par projekta īstenošanu paredzēt punktu, kurā sadarbības partneris (ārstniecības iestāde) apliecina, ka tam būs pieejami līdzekļi ilgtspējas prasību nodrošināšanai vismaz piecus gadus pēc projekta pabeigšanas.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līgumos tiks iekļauts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saņēmējs ar sadarbības partneri slēdz sadarbības līgumu. Ja uz projekta iesnieguma iesniegšanas dienu sadarbības līgums nav noslēgts, projekta iesniegumam pievieno finansējuma saņēmēja un sadarbības partnera noslēgtu nodomu protokolu. Sadarbības līgumā iekļauj informāciju atbilstoši normatīvajiem aktiem par kārtību, kādā Eiropas Savienības fondu vadībā iesaistītās institūcijas nodrošina šo fondu ieviešanu 2021.–2027. gada plānošanas periodā, un vismaz šādu informāciju par sadarbības partnera pienākumiem: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vides pieejamības ekspertu konsultācijas;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projektā  vārdu “pieejamība” aizstāt ar “piekļūstamība”, nodrošinot vienotu terminoloģiju. Vēršam uzmanību, ka, atbilstoši Latvijas Zinātņu akadēmijas Terminoloģijas komisijas lēmumam, angļu valodas termins “accessibility” latviski tiek tulkots kā “piekļūstamība”. Pamatojums: LZA Terminoloģijas komisijas 2017.gada lēmums (https://termini.gov.lv/kolekcijas/97/skirklis/454405).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vides piekļūstamības ekspertu konsultācijas;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 tiešās attiecināmās personāla izmaksas, kas ir šo noteikumu </w:t>
            </w:r>
            <w:r w:rsidR="00000000" w:rsidRPr="00000000" w:rsidDel="00000000">
              <w:rPr>
                <w:rtl w:val="0"/>
              </w:rPr>
              <w:t xml:space="preserve">18.8. </w:t>
            </w:r>
            <w:r w:rsidR="00000000" w:rsidRPr="00000000" w:rsidDel="00000000">
              <w:rPr>
                <w:rtl w:val="0"/>
              </w:rPr>
              <w:t xml:space="preserve">apakšpunktā</w:t>
            </w:r>
            <w:r w:rsidR="00000000" w:rsidRPr="00000000" w:rsidDel="00000000">
              <w:rPr>
                <w:rtl w:val="0"/>
              </w:rPr>
              <w:t xml:space="preserve"> minētās atbalstāmās darbības attiecināmās izmaksas un ko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 piemērojot izmaksu vienoto likmi 20 procentu apmērā no pārējām šo noteikumu </w:t>
            </w:r>
            <w:r w:rsidR="00000000" w:rsidRPr="00000000" w:rsidDel="00000000">
              <w:rPr>
                <w:rtl w:val="0"/>
              </w:rPr>
              <w:t xml:space="preserve">19.1.2. </w:t>
            </w:r>
            <w:r w:rsidR="00000000" w:rsidRPr="00000000" w:rsidDel="00000000">
              <w:rPr>
                <w:rtl w:val="0"/>
              </w:rPr>
              <w:t xml:space="preserve">apakšpunktā</w:t>
            </w:r>
            <w:r w:rsidR="00000000" w:rsidRPr="00000000" w:rsidDel="00000000">
              <w:rPr>
                <w:rtl w:val="0"/>
              </w:rPr>
              <w:t xml:space="preserve"> minētajām pārējām projekta tiešajām attiecināmajām īstenošanas izmaksām. Minētās atbalstāmās darbības ietvaros ir attiecināmas finansējuma saņēmēja projekta vadības personāla un īstenošanas personāla, kā arī sadarbības partnera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Ministru kabineta noteikumu redakcijā izdevumu pozīcijās ar noteiktu procentuālo ierobežojumu (piemēram, 19.1.1. apakšpunktā, 21. punktā) nav noteikts, vai procentuālais ierobežojums aprēķināms no projekta plānotajām vai faktiskajām attiecināmajām izmaksām, kas atbilst Vadošās iestādes Vadlīniju attiecināmo izmaksu noteikšanai Eiropas Savienības kohēzijas politikas programmas 2021.-2027.gada plānošanas periodā (turpmāk- vadlīnijas) 19.punktam, tomēr, ņemot vērā atsevišķus Revīzijas iestādes konstatējumus attiecībā uz situācijām, kad projekta īstenošanas gaitā rodas neatbilstoši veiktie izdevumi vai ietaupījums, kas var novest pie procentuālā ierobežojuma pārsnieguma konstatēšanas, pat ja izdevumi atbilst apstiprinātajam projekta budžetam, vadlīnijās paredzēts veikt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precizēt procentuālā ierobežojuma piemērošanas nosacījumus, nodrošinot, lai tie būtu viennozīmīgi, saprotami un praksē vienādi piemērojami visām iesaistītajām pusēm, nosakot, ka procentuālais ierobežojums tiek aprēķināts attiecībā pret projekta plānotajām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kolēģi telefoniski atsauca savu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tiešās attiecināmās personāla izmaksas, kas ir šo noteikumu </w:t>
            </w:r>
            <w:r w:rsidR="00000000" w:rsidRPr="00000000" w:rsidDel="00000000">
              <w:rPr>
                <w:rtl w:val="0"/>
              </w:rPr>
              <w:t xml:space="preserve">17.8. </w:t>
            </w:r>
            <w:r w:rsidR="00000000" w:rsidRPr="00000000" w:rsidDel="00000000">
              <w:rPr>
                <w:rtl w:val="0"/>
              </w:rPr>
              <w:t xml:space="preserve">apakšpunktā</w:t>
            </w:r>
            <w:r w:rsidR="00000000" w:rsidRPr="00000000" w:rsidDel="00000000">
              <w:rPr>
                <w:rtl w:val="0"/>
              </w:rPr>
              <w:t xml:space="preserve"> minētās atbalstāmās darbības attiecināmās izmaksas un ko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 piemērojot izmaksu vienoto likmi 20 procentu apmērā no pārējām šo noteikumu </w:t>
            </w:r>
            <w:r w:rsidR="00000000" w:rsidRPr="00000000" w:rsidDel="00000000">
              <w:rPr>
                <w:rtl w:val="0"/>
              </w:rPr>
              <w:t xml:space="preserve">18.1.2. </w:t>
            </w:r>
            <w:r w:rsidR="00000000" w:rsidRPr="00000000" w:rsidDel="00000000">
              <w:rPr>
                <w:rtl w:val="0"/>
              </w:rPr>
              <w:t xml:space="preserve">apakšpunktā</w:t>
            </w:r>
            <w:r w:rsidR="00000000" w:rsidRPr="00000000" w:rsidDel="00000000">
              <w:rPr>
                <w:rtl w:val="0"/>
              </w:rPr>
              <w:t xml:space="preserve"> minētajām pārējām projekta tiešajām attiecināmajām īstenošanas izmaksām. Minētās atbalstāmās darbības ietvaros ir attiecināmas finansējuma saņēmēja projekta vadības personāla un īstenošanas personāla, kā arī sadarbības partnera personāla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 nodrošina sasniegto rezultātu ilgtspēju: projekta ietvaros izveidotajās un iekārtotajās telpās vismaz piecus gadus pēc projekta pabeigšanas tiek nodrošināts multiprofesionālo komandu darbs;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27.punktā nosaka vispārīgas prasības visiem partneriem, bet 27.9. un 27.10. nosaka ilgtspējas prasības pārāk kategoriski, neņemot vērā faktu, ka būs sadarbības partneri ar divām dažādām lomām un ar diviem dažādiem atšķirīgiem projektu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ārstniecības Iestādes, kuras nodrošinās telpu izveidi/remontu un multiprofesionālo komandu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Bērnu klīniskā universitātes slimnīca (turpmāk - BKUS), kas nodrošinās metodisko atbalstu un metodikas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sadarbības partnerim vajadzētu būt atbildīgam par savas juridiskās personas rezultāta ilgtspēju. Ja BKUS projekta līgums neparedz pienākumu izveidot un iekārtot telpas, kā arī uzsākt multiprofesionālo komandu darbu, tad secīgi uz BKUS nevajadzētu būt attiecināmai 27.9. punktā noteiktai ilgtspējas prasībai. BKUS līgumā ir paredzēti citi uzdevumi: izstrādāt algoritmus, protokolus, metodikas, vadlīnijas, līdzdarboties komandas izveidē, līdzdarboties komandas tālākizglītības pasākumos un līdzdarboties komunikācijā.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aicinātu precizēt formulējumus, norādot uz katras puses atbildību arī noteikumu līmenī: iekļaut norādi uz projekta līguma nosacījumiem vai analoģiski kā 27.14.punktā piemērot atrunu: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 nodrošina sasniegto rezultātu ilgtspēju atbilstoši noslēgtajam līgumam par projekta īstenošanu, piemēram, projekta ietvaros izveidotajās un iekārtotajās telpās vismaz piecus gadus pēc projekta pabeigšanas tiek nodrošināts multiprofesionālo komandu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 sadarbības partneri nodrošina rezultātu uzturēšanu atbilstoši noslēgtajam līgumam par projekta īstenošanu  un to, ka projekta ietvaros izveidotā multiprofesionālo komandu pakalpojumu sniegšanas infrastruktūra vismaz piecus gadus pēc noslēguma maksājuma veikšanas tiek izmantota tikai pakalpojumu sniegšanai šo noteikumu 3. punktā minētajām mērķa grupas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26.9. nodrošina sasniegto rezultātu ilgtspēju saskaņā ar sadarbības līgumā noteikto: projekta ietvaros izveidotajās un iekārtotajās telpās vismaz piecus gadus pēc projekta pabeigšanas tiek nodrošināts multiprofesionālo komandu darbs;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 nodrošina, ka pasākuma ietvaros izveidotajā multiprofesionālo komandu pakalpojumu sniegšanas infrastruktūrā projekta īstenošanas laikā, šo noteikumu </w:t>
            </w:r>
            <w:r w:rsidR="00000000" w:rsidRPr="00000000" w:rsidDel="00000000">
              <w:rPr>
                <w:rtl w:val="0"/>
              </w:rPr>
              <w:t xml:space="preserve">27.10. </w:t>
            </w:r>
            <w:r w:rsidR="00000000" w:rsidRPr="00000000" w:rsidDel="00000000">
              <w:rPr>
                <w:rtl w:val="0"/>
              </w:rPr>
              <w:t xml:space="preserve">apakšpunktā</w:t>
            </w:r>
            <w:r w:rsidR="00000000" w:rsidRPr="00000000" w:rsidDel="00000000">
              <w:rPr>
                <w:rtl w:val="0"/>
              </w:rPr>
              <w:t xml:space="preserve"> minētajā laikposmā un ieguldījumu amortizācijas periodā netiek veikta saimnieciskā 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iepriekšējo Veselības ministrijas priekšlikumu pie 27.9.apakšpunkta, ka pasākuma ietvaros ir paredzēti divu veidu sadarbības partneri ar dažādiem uzdevumiem, 27.11. un 27.12.apakšpunktā lūdzam paredzēt atrunu, "ja attiecināms". Jo Bērnu klīniskā universitātes slimnīca nevar būt atbildīga un nodrošināt 27.11. un 27.12. apakšpunktā noteikto uzdevumu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skaidri ir noteikts, ka tas attiecināms uz izveidoto infrastruktūru.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 nodrošina, ka pasākuma ietvaros izveidotajā multiprofesionālo komandu pakalpojumu sniegšanas infrastruktūrā projekta īstenošanas laikā, šo noteikumu </w:t>
            </w:r>
            <w:r w:rsidR="00000000" w:rsidRPr="00000000" w:rsidDel="00000000">
              <w:rPr>
                <w:rtl w:val="0"/>
              </w:rPr>
              <w:t xml:space="preserve">26.10. </w:t>
            </w:r>
            <w:r w:rsidR="00000000" w:rsidRPr="00000000" w:rsidDel="00000000">
              <w:rPr>
                <w:rtl w:val="0"/>
              </w:rPr>
              <w:t xml:space="preserve">apakšpunktā</w:t>
            </w:r>
            <w:r w:rsidR="00000000" w:rsidRPr="00000000" w:rsidDel="00000000">
              <w:rPr>
                <w:rtl w:val="0"/>
              </w:rPr>
              <w:t xml:space="preserve"> minētajā laikposmā un ieguldījumu amortizācijas periodā netiek veikta saimnieciskā darbība;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27.13. nodrošina horizontālā principa "Vienlīdzība, iekļaušana, nediskriminācija un pamattiesību ievērošana" īstenošanu un uzkrāj datus par objektu skaits, kuros Eiropas Reģionālās attīstības fonda ieguldījumu rezultātā ir nodrošināta vides un informācijas pieejamība. Finansējuma saņēmējam ir pienākums sniegt minēto informāciju, iesniedzot noslēguma maksājuma pieprasījumu par visu projekta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apakšpunkta redakciju, norādot korektu horizontālā principa rādītāja nosaukumu atbilstoši Vadlīniju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horizontālā principa “Vienlīdzība, iekļaušana, nediskriminācija un pamattiesību ievērošana” īstenošanai un uzraudzībai (2021-2027) 4.pielikumā noteiktajam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28.13. nodrošina horizontālā principa "Vienlīdzība, iekļaušana, nediskriminācija un pamattiesību ievērošana" īstenošanu un uzkrāj datus par šādu rādītāju "Objektu, kuros ir nodrošināta vides un informācijas piekļūstamība, skaits". Finansējuma saņēmējam ir pienākums sniegt minēto informāciju, iesniedzot noslēguma maksājuma pieprasījumu par visu projekta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26.13. nodrošina horizontālā principa "Vienlīdzība, iekļaušana, nediskriminācija un pamattiesību ievērošana" īstenošanu un uzkrāj datus par šādu rādītāju "Objektu, kuros ir nodrošināta vides un informācijas piekļūstamība, skaits". Finansējuma saņēmējam ir pienākums sniegt minēto informāciju, iesniedzot noslēguma maksājuma pieprasījumu par visu projekta periodu;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anotācijā minēto darbību provizorisko izmaksu (tiešās attiecināmās izmaksas) atšifrējumu, ņemot vērā, ka minēto izmaksu (MKN 18.1.-18.8.) kopsumma veido 4 116 466 euro, savukārt piemērojot netiešo izmaksu vienoto likmi 7 procentu apmērā no tiešajām attiecināmajām izmaksām (MKN 18.1.-18.8.), kopsumma pārsniedz pasākumam pieejamo kopējo attiecināmo finansējumu 4 350 000 euro. Aprēķins: 4 116 466 *1.07=4 404 618,62.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visā anotācijas tekstā vārdu “pieejamība” aizstāt ar vārdu “piekļūstamība”. Vēršam uzmanību, ka, atbilstoši Latvijas Zinātņu akadēmijas Terminoloģijas komisijas lēmumam, ārējos un iekšējos normatīvajos aktos tiek lietots termins “piekļūstamība” (no angļu val. “accessibility”). Šāds termins lietots arī Preču un pakalpojumu piekļūstamības likumā, apzīmējot piekļūstamības prasības videi, informācijai, precēm  un pakalpojumiem, lai tie būtu ērti lietojami ikvienam, tai skaitā cilvēkiem ar dažāda veida funkcionēšanas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precizēt horizontālā principa "Vienlīdzība, iekļaušana, nediskriminācija un pamattiesību ievērošana" rādītāja redakciju atbilstoši Vadlīniju horizontālā principa “Vienlīdzība, iekļaušana, nediskriminācija un pamattiesību ievērošana” īstenošanai un uzraudzībai (2021-2027) 4.pielikumā noteiktajam: "</w:t>
            </w:r>
            <w:r w:rsidR="00000000" w:rsidRPr="00000000" w:rsidDel="00000000">
              <w:rPr>
                <w:u w:val="single"/>
                <w:rtl w:val="0"/>
              </w:rPr>
              <w:t xml:space="preserve">Objektu, kuros ir nodrošināta vides un informācijas piekļūstamība, skaits"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aprakstu ar norādi uz konkrētu NAP2027 pasākumu/uzdevumu, kuru mērķu sasniegšanu sekmēs 4.2.1.1. pasākuma īstenošana.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 anotācijas 2.2.3. punktā norādīto ietekmes aprakstu: "Jaunas darba vietas reģionos.", lai ir saprotamas norādītās ietekmes veidošanās cēloņsakarības.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sadaļā sniegto informāciju par horizontālā principa specifiskajām darbībām atbilstoši Vadlīniju horizontālā principa “Vienlīdzība, iekļaušana, nediskriminācija un pamattiesību ievērošana” īstenošanai un uzraudzībai (2021-2027) [1] 5.pielikumā noteiktajam, proti lūdzam svītrot teikumu: "--- uzkrāj datus par objektu skaits, kuros Eiropas Reģionālās attīstības fonda ieguldījumu rezultātā ir nodrošināta vides un informācijas pieejamība. Finansējuma saņēmējam ir pienākums sniegt minēto informāciju, iesniedzot noslēguma maksājuma pieprasījumu par visu projekta periodu", jo tā nav specifiska darbība, bet FS pienākums.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ir iekļautas jaunas horizontālā principa vispārīgās un specifiskās darbības, kuras ir atbilstošas un izriet no projekta satura, vienlaikus nav definētas Horizontālā principa vadlīniju 5.pielikumā [1]. Attiecīgi, izstrādājot projekta iesniegumu, būs jāpievērš uzmanība tam, ka Kohēzijas politikas vadības informācijas sistēmā tās nav definētas un tās būs jāpievieno kā jaunas HP darbības.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08.01.2026. 12:53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Finansējuma saņēmēja sadarbības partneri ir Bērnu klīniskā universitātes slimnīca, kas sniedz metodisko atbalstu un piedalās projekta uzraudzībā tā kvalitatīvai īstenošanai, kā arī var tikt piesaistīta konkrētas darbības vai tās daļas veikšanai, valsts un pašvaldības ārstniecības iestādes, kuru telpās tiks nodrošināts multiprofesionālo komandu darbs, un pašvaldības, kuru teritorijās darbojas minētās ārstniecības iestādes (turpmāk – sadarbības partneris).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akcentējam jau pausto iebildi  par pašvaldības kā sadarbības partnera uzdevumu garantēt pielāgoto telpu izmantošanu  tikai komandu darbu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Nenoliedzami, ka bērni ir konkrētās pašvaldības, lai gan teritorija, ko apkalpos jau būs plašāka.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šajā gadījumā  ir runa tieši  par juridisku argumentu -pašvaldība nevar garantēt  īpašuma izmantošanas veidu, ja vien tas nav konkrētās pašvaldības īpašums. Nenoliedzami var tikt slēgts sadarbības līgums, tomēr pašvaldība var apņemties tikai to, kas ir juridiski korekti izpildāms.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Papildinātais teksts- "ja attiecināms" ir ietverts tikai vienā vietā anotācijā, tas nav Ministru kabineta tekstā pie sadarbības partneris - "pašvaldība", pie tam tādā gadījumā anotācijā ir jābūt  skaidrojumam par šī papildinājuma nozīmi- kādi gadījumi tie būs, kad pašvaldība garantēs?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un ar kādiem juridiskiem instrumentiem  pašvaldība var iejaukties kapitālsabiedrības darbā, kontrolēt un kopumā  garantēt? Lūdzam anotācijā skaidrot.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katrā pašvaldībā var būt atšķirīga situācija, saistībā ar izmantojamo infrastruktūru, iesaistītajām institūcijām un atbildības jomām projektā, līdz ar to plānots slēgt četrpusēju sadarbības līgumu, kurā tiks definētas katras no iesaistītajām pusēm tiesības, pienākumi un atbildība, gan projekta īstenošanas laikā, gan pēc projekta beigām, līdz ar to sadarbības līgums noteiks iesaistīto sadarbības partneru atbildību konkrētajā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Finansējuma saņēmēja sadarbības partneri ir Bērnu klīniskā universitātes slimnīca, kas sniedz metodisko atbalstu un piedalās projekta uzraudzībā tā kvalitatīvai īstenošanai, kā arī var tikt piesaistīta konkrētas darbības vai tās daļas veikšanai, valsts un pašvaldības ārstniecības iestādes, kuru telpās tiks nodrošināts multiprofesionālo komandu darbs, un pašvaldības, kuru teritorijās darbojas minētās ārstniecības iestādes (turpmāk – sadarbības partneris).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LPS  jau  pausto par elektromobiļu iegādi un lūgumu skaidrot lietderību, kā arī veiktajiem papildinājumiem.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skaidrot, kas domāts  ar  papildinājumu "transporta pakalpojumu". No anotācijas tas neizriet. Vai tas nozīmē, ka iepirks pakalpojuma sniedzēju, kas vadās attiecīgos speciālistus.Izvirzās jautājums, cik efektīvi tas tad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uzturam spēkā  jau iepriekšpausto rosinājumu  par iespējamām alternatīvām (hibrīdmodeļiem). Pamatojums  jau tika pausts iepriekš.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sadarbības partnerim, ņemot vērā tā atrašanās vietu, kā arī izvērtējot pārvietošanās attālumus, biežumu un citus ietekmējošos faktorus, būs iespēja izvēlēties piemērotāko pārvietošanās veidu (elektromobiļa iegāde, transporta noma, transporta pakalpojuma izmantošanu, patapinājuma līgumu par darbinieku esošā auto izmantošanu), saskaņojot un pamatojot izvēli ar finansējuma saņēmēju. Norādām, ka 4.2.1.1.pasākuma izmaksās neietilpst multiprofesionālas komandas izmaksas saistībā ar patapinājuma līgumu un sabiedriskā transporta biļetēm, šīs izmaksas tiks finansētas no 4.3.6.7.pasākuma otrās kārtas izmaksām. Papildus skaidrojam, ka  autotransporta iegāde ir iespējama ievērojot ES fondu 2021.–2027. gada plānošanas perioda Vadlīnijas attiecināmo izmaksu noteikšanai Eiropas Savienības Kohēzijas politikas programmas 2021.-2027. gada plānošanas periodā noteikto, kā arī tikai tīros transportlīdzekļus, kā tie definēti direktīvā Nr. 2009/33/EC "Eiropas Parlamenta un Padomes Direktīva 2009/33/EK ( 2009. gada 23. aprīlis ) par tīro un energoefektīvo autotransporta līdzekļu izmantošanas veicināšanu, kas nozīmē, ka var tikt pirkst tikai un vienīgi elektroauto.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pasākuma atbalstāmo darbību provizoriskajām izmaksām, lai nodrošinātu izpratni par pieejamā finansējuma sadales aplēsēm un atbilstību plānoto darbību īstenošanas vajadzībām, ņemot vērā atbalstāmo darbību papildināšanu ar jaunām izmaksu pozīcijām.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plānoto elektorauto un to uzlādes iekārtu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4.2.1.1. pasākuma "Infrastruktūras izveide starpnozaru sadarbības un atbalsta sistēmas izveidei bērnu attīstībai"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priekšlikumu par pasākuma rezultātu uzturēšanu pēc projekta pabeigšanas, lūdzam noteikumu projektu papildināt ar jaunu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pabeigšanas sadarbības partneri nodrošina sasniegto rezultātu uzturēšanu.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28.10. punkts "sadarbības partneri nodrošina rezultātu uzturēšanu un to, ka projekta ietvaros izveidotā multiprofesionālo komandu pakalpojumu sniegšanas infrastruktūra vismaz piecus gadus pēc noslēguma maksājuma veikšanas tiek izmantota tikai pakalpojumu sniegšanai šo noteikumu 3. punktā minētajām mērķa grupas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4.2.1.1. pasākuma "Infrastruktūras izveide starpnozaru sadarbības un atbalsta sistēmas izveidei bērnu attīstībai"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attiecināmais finansējums ir 4 350 000 </w:t>
            </w:r>
            <w:r w:rsidR="00000000" w:rsidRPr="00000000" w:rsidDel="00000000">
              <w:rPr>
                <w:i w:val="1"/>
                <w:rtl w:val="0"/>
              </w:rPr>
              <w:t xml:space="preserve">euro </w:t>
            </w:r>
            <w:r w:rsidR="00000000" w:rsidRPr="00000000" w:rsidDel="00000000">
              <w:rPr>
                <w:rtl w:val="0"/>
              </w:rPr>
              <w:t xml:space="preserve">(no tā elastības finansējums – 686 104 </w:t>
            </w:r>
            <w:r w:rsidR="00000000" w:rsidRPr="00000000" w:rsidDel="00000000">
              <w:rPr>
                <w:i w:val="1"/>
                <w:rtl w:val="0"/>
              </w:rPr>
              <w:t xml:space="preserve">euro</w:t>
            </w:r>
            <w:r w:rsidR="00000000" w:rsidRPr="00000000" w:rsidDel="00000000">
              <w:rPr>
                <w:rtl w:val="0"/>
              </w:rPr>
              <w:t xml:space="preserve">), tai skaitā Eiropas Reģionālās attīstības fonda finansējums 3 697 500 </w:t>
            </w:r>
            <w:r w:rsidR="00000000" w:rsidRPr="00000000" w:rsidDel="00000000">
              <w:rPr>
                <w:i w:val="1"/>
                <w:rtl w:val="0"/>
              </w:rPr>
              <w:t xml:space="preserve">euro </w:t>
            </w:r>
            <w:r w:rsidR="00000000" w:rsidRPr="00000000" w:rsidDel="00000000">
              <w:rPr>
                <w:rtl w:val="0"/>
              </w:rPr>
              <w:t xml:space="preserve">(no tā elastības finansējums – 583 189 </w:t>
            </w:r>
            <w:r w:rsidR="00000000" w:rsidRPr="00000000" w:rsidDel="00000000">
              <w:rPr>
                <w:i w:val="1"/>
                <w:rtl w:val="0"/>
              </w:rPr>
              <w:t xml:space="preserve">euro</w:t>
            </w:r>
            <w:r w:rsidR="00000000" w:rsidRPr="00000000" w:rsidDel="00000000">
              <w:rPr>
                <w:rtl w:val="0"/>
              </w:rPr>
              <w:t xml:space="preserve">) un valsts budžeta līdzfinansējums – 652 500 </w:t>
            </w:r>
            <w:r w:rsidR="00000000" w:rsidRPr="00000000" w:rsidDel="00000000">
              <w:rPr>
                <w:i w:val="1"/>
                <w:rtl w:val="0"/>
              </w:rPr>
              <w:t xml:space="preserve">euro </w:t>
            </w:r>
            <w:r w:rsidR="00000000" w:rsidRPr="00000000" w:rsidDel="00000000">
              <w:rPr>
                <w:rtl w:val="0"/>
              </w:rPr>
              <w:t xml:space="preserve">(no tā elastības finansējums – 102 915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noteikumos norādīto finansējumu, svītrojot elastības finansējumu un ar to saistītos notikumu punktus (8. un 9. noteikumu punkts), ņemot vērā, ka ir saņemts Eiropas Komisijas lēmums par vidusposma pārskatu un apstiprināti attiecīgie Eiropas Savienības kohēzijas politikas programmas 2021.-2027.gadam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Attiecīgus precizējumus lūdzam veikt arī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pieejamais kopējais attiecināmais finansējums ir 4 350 000 euro, tai skaitā Eiropas Reģionālās attīstības fonda finansējums 3 697 500 euro un valsts budžeta līdzfinansējums – 652 500 euro.</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7. un 8.punkts, kā arī anotācija. Dzēsts 9.punkts, kas ir zaudējis savu aktualitāti saistībā ar elastības finansējuma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pieejamais kopējais attiecināmais finansējums ir 4 350 000 euro, tai skaitā Eiropas Reģionālās attīstības fonda finansējums 3 697 500 euro un valsts budžeta līdzfinansējums – 652 500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mobilitātes nodrošināšanai nepieciešamo autotransporta pakalpojumu nodrošināšana, tai skaitā noma vai autotransporta iegāde un uzturēšana, tai skaitā uzlādes iekārtas iegāde;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uzlādes iekārtas uzstādīšanas vietu, kā arī tās lietošanas un uzturēšanas kārtību, lai nodrošinātu nepārprotamu izpratni par izmaksu attiecināmību, piemēram, kam būs piekļuve uzlādes iekārtas lietošanai.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mobilitātes nodrošināšanai nepieciešamo autotransporta pakalpojumu nodrošināšana, tai skaitā noma vai autotransporta iegāde un uzturēšana, tai skaitā uzlādes iekārtas iegāde;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mobilitātes nodrošināšanai nepieciešamo autotransporta pakalpojumu nodrošināšana, tai skaitā noma vai autotransporta iegāde un uzturēšana, tai skaitā uzlādes iekārtas iegāde;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autotransporta iegāde ir iespējama ievērojot ES fondu 2021.–2027. gada plānošanas perioda Vadlīnijas attiecināmo izmaksu noteikšanai Eiropas Savienības Kohēzijas politikas programmas 2021.-2027. gada plānošanas periodā noteikto, kā arī tikai tīros transportlīdzekļus, kā tie definēti direktīvā Nr. 2009/33/EC "Eiropas Parlamenta un Padomes Direktīva 2009/33/EK ( 2009. gada 23. aprīlis ) par tīro un energoefektīvo autotransporta līdzekļu izmantošanas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mobilitātes nodrošināšanai nepieciešamo autotransporta pakalpojumu nodrošināšana, tai skaitā noma vai autotransporta iegāde un uzturēšana, tai skaitā uzlādes iekārtas iegāde;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finansējuma saņēmēja un sadarbības partnera projekta vadības vietējā transporta izmaksas (maksa par degvielu,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 un transportlīdzekļu nomas un transporta pakalpojuma pirkšanas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apakšpunkta redakciju, ņemot vērā, ka 19.5. apakšpunktā minētās transportlīdzekļu nomas un transporta pakalpojumu iegādes izmaksas radīsies uz iepirkuma līgumu pamata un līdz ar to būs attiecināmas saskaņā ar noteikumu 21.1.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finansējuma saņēmēja un sadarbības partnera projekta vadības vietējā transporta izmaksas (maksa par degvielu,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finansējuma saņēmēja un sadarbības partnera projekta vadības vietējā transporta izmaksas (maksa par degvielu,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 savā tīmekļvietnē (ja tāda ir) un sociālajos tīklos ievieto informāciju par projekta īstenošanu un aktualizē to, tiklīdz pieejama jaunāka informācija, bet ne retāk kā reizi sešos mēnešos;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nenoteikt stingrākas prasības par tām, kas paredzētas ES fondu 2021.–2027. gada un Atveseļošanas fonda komunikācijas un dizaina vadlīnijās. Esošajā redakcijā ir noteikts, ka informācija jāaktualizē ne retāk kā reizi sešos mēnešos, taču ierosinām norādīt tikai to, ka informācija jāaktualizē, ja tas ir nepieciešams, nenosakot konkrētu biežumu. Tas ļautu saglabāt prasības atbilstošas vadlīnijām, neieviešot stingrākus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savā tīmekļvietnē (ja tāda ir) un sociālajos tīklos ievieto informāciju par projekta īstenošanu un aktualizē to, tiklīdz pieejama jaunāka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ir norādīts, ka pasākuma rezultātu uzturēšana tiks nodrošināta no valsts budžeta līdzekļiem. Uzskatām, ka sadarbības partneriem projekta ietvaros izveidotās un iekārtotās telpas ir jānodrošina savu  līdzekļu ietvaros, attiecīgi jāprecizē anotācijā sniegtā informācija par uzturēšanas izmaksu finansēšanas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anotācijā iekļaut informāciju par komercdarbības atbalsta nosacījumu ievērošanas uzraudzību projekta īstenošanas un projekta pēcuzraudzības periodā attiecībā ne tikai uz finansējuma saņēmēju, bet arī uz visiem sadarbības partneriem, ņemot vērā, ka projekta ietvaros paredzēti ieguldījumi sadarbības partneru infrastruktūrā, kā arī atsevišķos gadījumos – elektrotransportlīdzekļu iegāde.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un pārskatāmu sadarbības partneru izvēles kārtību, lūdzam anotāciju papildināt ar detalizētu skaidrojumu par sadarbības partneru atlases procesu, paredzot atklātu, caurskatāmu un nediskriminējošu atlases mehānismu, kas atbilst projekta mērķiem un nodrošina nepieciešamo teritoriālo pārklājumu.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nesakritības starp anotācijā ietverto sadarbības partneru aprakstu un MK noteikumu 17. punktā noteikto regulējumu, kā arī nodrošinātu tiesisko skaidrību un konsekvenci, aicinām precizēt anotācijā ietverto sadarbības partneru uzskaitījumu. Pašlaik anotācijā sadarbības partneri ir noteikti plašāk, proti, kā ambulatorās ārstniecības iestādes un pašvaldības, kas nodrošina telpas multiprofesionālo komandu darbam, savukārt MK noteikumu 17. punktā kā sadarbības partneri ir paredzētas valsts un pašvaldības ārstniecības iestādes, kā arī pašvaldības. Lūdzam anotācijā izvērst pamatojumu, kādēļ projekta sadarbības partneru lokā tiek paredzētas tikai valsts un pašvaldības ārstniecības iestādes, kā arī tikai ārstniecības iestādes, kas nodrošina ambulatoros, nevis stacionāros veselības aprūpes pakalpojumus. Vienlaikus aicinām atkārtoti izvērtēt un pamatot konkrēto sadarbības partneru izvēli, kuru telpās tiek nodrošināts multiprofesionālo komandu darbs.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Saskaņota informācija starp noteikumu projektu un anotāciju. Skaidrojam, ka šī pasākuma ietvaros ir plānota valsts apmaksāta pakalpojuma sniegšana visā Latvijas teritorijā, kā arī multiprofesionālo komandu darbs ir starpnozarisks, ietekmējot arī zglītības un sociālo pakalpojumu sniegšanu konkrētajā pašvaldībā, līdz ar to lēmumu  pieņemšana par konkrēto bērnu vajadzībām nav nododama privātajam subjektam. Papildus skaidrojam, ka pasākums ir dizainēts un ieviešanas mehānisms apstiprināts bez privātā finansējuma iesaistes,papildus tas ietekmētu komercdarbības atbalstu un konkurenci.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projekta vadības un īstenošanas nodrošināšanas pamatprincipa Nr.2, lūdzam iekļaut aprēķina aprakstu (amatu skaits, amatu saimes utt.) šai norādītajai informācijai - "Kvalitatīvai projekta ieviešanai ir nepieciešams projekta vadītājs, projekta vadītāja asistents, finansists, iepirkumu speciālists, un arī sadarbības partneriem ir nepieciešams piesaistīt projekta vadītājus".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projekta vadības un īstenošanas nodrošināšanas pamatprincipa Nr.1, l (... saskaņā ar... ) lūdzam iekļaut atsauci uz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55.panta 1.punktu.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šo teikumu "projekta vadības un īstenošanas nodrošināšanai tiek piemērotas vienkāršotās izmaksas jeb vienotā likme 20 % apmērā" aiz vārdiem 20 % apmērā ar šādu informāciju "no projekta tiešajām attiecināmajām izmaksām, kas nav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iekļaut atsauci uz konkrētajiem MK noteikumu par SAM īstenošanu punktiem, no kuriem ir rēķināts vienotās personāla likmes procents.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projeka ietvaros netiek īstenots daudzpakāpju projekts aicinām noteikumu projekta anotācijas 1.3. sadaļā pie apraksta par vienlīdzību, iekļaušanu, nediskrimināciju un pamattiesību ievērošanu svītrot atsauci uz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dzēsta no anotācijas.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 anotācijas 2.2.3. un 2.2.3. punktā norādīto ietekmes aprakstu, lai ir saprotamas norādītās ietekmes veidošanās cēloņsakarības.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kārtējais ir 2026. gads, lūdzam precizēt anotācijas 3. sadaļas tabulas 3., 5. un 8. kolonnā norādīto informāciju, attiecīgi 6.punktā precizējot indikatīvo finansējuma sadalījumu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kancelejai informēt Ministru kabinetu par tālāku rīcību 4.2.1.1. pasākuma "Infrastruktūras izveide starpnozaru sadarbības un atbalsta sistēmas izveidei bērnu attīstībai" īstenošanā, ja Eiropas Komisija neatbalsta Eiropas Savienības kohēzijas politikas programmas 2021.–2027. gadam grozījumu priekšlikumu par šī pasākuma atbalstāmo darbību papildināšanu ar autotransportu, kā daļu no infrastruktūras izveides.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protokollēmuma projekta 5.punktu, ņemot vērā, ka ir saņemts Eiropas Komisijas lēmums par vidusposma pārskatu un ir apstiprināti attiecīgie Eiropas Savienības kohēzijas politikas programmas 2021.-2027.gadam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14.10.2025. 08:34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tiešās attiecināmās personāla izmaksas, kas ir šo noteikumu </w:t>
            </w:r>
            <w:r w:rsidR="00000000" w:rsidRPr="00000000" w:rsidDel="00000000">
              <w:rPr>
                <w:rtl w:val="0"/>
              </w:rPr>
              <w:t xml:space="preserve">19.8. </w:t>
            </w:r>
            <w:r w:rsidR="00000000" w:rsidRPr="00000000" w:rsidDel="00000000">
              <w:rPr>
                <w:rtl w:val="0"/>
              </w:rPr>
              <w:t xml:space="preserve">apakšpunktā</w:t>
            </w:r>
            <w:r w:rsidR="00000000" w:rsidRPr="00000000" w:rsidDel="00000000">
              <w:rPr>
                <w:rtl w:val="0"/>
              </w:rPr>
              <w:t xml:space="preserve"> minētās atbalstāmās darbības attiecināmās izmaksas un ko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 piemērojot izmaksu vienoto likmi 20 procentu apmērā no pārējām šo noteikumu </w:t>
            </w:r>
            <w:r w:rsidR="00000000" w:rsidRPr="00000000" w:rsidDel="00000000">
              <w:rPr>
                <w:rtl w:val="0"/>
              </w:rPr>
              <w:t xml:space="preserve">20.1.2. </w:t>
            </w:r>
            <w:r w:rsidR="00000000" w:rsidRPr="00000000" w:rsidDel="00000000">
              <w:rPr>
                <w:rtl w:val="0"/>
              </w:rPr>
              <w:t xml:space="preserve">apakšpunktā</w:t>
            </w:r>
            <w:r w:rsidR="00000000" w:rsidRPr="00000000" w:rsidDel="00000000">
              <w:rPr>
                <w:rtl w:val="0"/>
              </w:rPr>
              <w:t xml:space="preserve"> minētajām pārējām projekta tiešajām attiecināmajām īstenošanas izmaksām. Minētās atbalstāmās darbības ietvaros ir attiecināmas finansējuma saņēmēja projekta vadības personāla un īstenošanas personāla, kā arī sadarbības partnera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vadošās iestādes 21. oktobrī sniegtos komentārus atsevišķā komunikācijā ar Valsts kanceleju par veikto aprēķinu un anotācijā iekļaujamo informāciju, informējam, ka līdz atbilžu saņemšanai nevaram saskaņot Ministru kabineta noteikumos paredzēto vienotās likmes procentuālo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12.decembrī saņemts FM saskaņojums saistībā ar vienotās likmes procentuālo apmēru 20%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tiešās attiecināmās personāla izmaksas, kas ir šo noteikumu </w:t>
            </w:r>
            <w:r w:rsidR="00000000" w:rsidRPr="00000000" w:rsidDel="00000000">
              <w:rPr>
                <w:rtl w:val="0"/>
              </w:rPr>
              <w:t xml:space="preserve">17.8. </w:t>
            </w:r>
            <w:r w:rsidR="00000000" w:rsidRPr="00000000" w:rsidDel="00000000">
              <w:rPr>
                <w:rtl w:val="0"/>
              </w:rPr>
              <w:t xml:space="preserve">apakšpunktā</w:t>
            </w:r>
            <w:r w:rsidR="00000000" w:rsidRPr="00000000" w:rsidDel="00000000">
              <w:rPr>
                <w:rtl w:val="0"/>
              </w:rPr>
              <w:t xml:space="preserve"> minētās atbalstāmās darbības attiecināmās izmaksas un ko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 piemērojot izmaksu vienoto likmi 20 procentu apmērā no pārējām šo noteikumu </w:t>
            </w:r>
            <w:r w:rsidR="00000000" w:rsidRPr="00000000" w:rsidDel="00000000">
              <w:rPr>
                <w:rtl w:val="0"/>
              </w:rPr>
              <w:t xml:space="preserve">18.1.2. </w:t>
            </w:r>
            <w:r w:rsidR="00000000" w:rsidRPr="00000000" w:rsidDel="00000000">
              <w:rPr>
                <w:rtl w:val="0"/>
              </w:rPr>
              <w:t xml:space="preserve">apakšpunktā</w:t>
            </w:r>
            <w:r w:rsidR="00000000" w:rsidRPr="00000000" w:rsidDel="00000000">
              <w:rPr>
                <w:rtl w:val="0"/>
              </w:rPr>
              <w:t xml:space="preserve"> minētajām pārējām projekta tiešajām attiecināmajām īstenošanas izmaksām. Minētās atbalstāmās darbības ietvaros ir attiecināmas finansējuma saņēmēja projekta vadības personāla un īstenošanas personāla, kā arī sadarbības partnera personāla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ietvaros tiek plānota "elektromobiļu iegāde un saistītie uzturēšanas izdevumi vai transporta pakalpojuma pirkšana, kas nepieciešami, lai multiprofesionālās komandas varētu sniegt pakalpojumus attālākās teritorijās un sasniegt ikvienu bērnu, kuram nepieciešams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atspoguļot, vai ir izvērtēta elektromobiļu piemērotība konkrētiem apstākļiem, proti, attālākiem reģioniem, kas tieši tiek pieminēti anotācijā;  cik gari maršruti plānoti; vai ir apzinātas uzlādes iespējas kopumā un 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līdzšinējā prakse elektromobiļu lietošanā  iezīmē problēmas tieši saistībā ar to piemērotību  gariem ceļa posmiem un uz  attālākajiem reģioniem, līdz ar to  iepriekš veicams  rūpīgs izvērtējums. Iespējams, ka apsveramas arī  iespējamās alternatīvas (hibrīdmodeļi).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MK noteikumu projekts paredz iespēju vai nu elektromobīļu iegādi, vai transporta pakalpojuma izmantošanu. Sadarbības partnerim būs iespēja izvēlēties vai nu elektromobiļa iegādi, vai transporta pakalpojuma izvēli, saskaņojot un pamatojot izvēli ar finansējuma saņēmēju. Papildus norādām, ka kopā ar elektromobiļa iegādi ir plānota arī uzlādes iekārtas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atbilstošu EK regulām no ES fondu finansējuma ir atbalstāma tikai un vienīgi elektromobiļu iegāde, kā arī tika veikti grozījumi Eiropas Savienības kohēzijas politikas  programmā, lai pasākumā būtu attiecināma elektromobīļu iegāde, kas iepriekš netika paredzēta.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8.lpp.un citur tekstā kur teikts, ka pašvaldības garantē.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kurās atrodas minētās ambulatorās iestādes un kuras garantēs pielāgoto telpu izmantošanu tikai komandu darba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nav zināms, kuras būs tās ambulatorās iestādes un kas ir to īpašnieki - vai pilnībā pašvaldība un, vai tā ir tikai konkrētā pašvaldība vai vairākas, piemēram, Balvu-Gulbenes apvienībai ir arī privātais investors, kā arī iespējams analoga situācija ir  vēl citur. Visas ambulatorās iestādes ir SIA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vērtējams,  cik korekti ir paredzēt, ka pašvaldība  garantē.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pašvaldību iesaiste ir ļoti svarīga šo pakalpojumu ieviešanā, neskatoties uz ambulatoras iestādes juridisko statusu, jo multiprofesionālo komandu darbs ir saistīts ar pašvaldībā dzīvojošiem bērniem, ar viņiem saistīto lēmumu pieņemšanu un nepieciešamo pakalpojumu sniegšanu. Lai izvairītos no pārpratumiem, ierosinām aiz "pašvaldība garantē" papildināt ar iekavām (ja attiecināms). Finansējuma saņēmējs izvērtēs, kādā īpašumā investēt, kas saistīts ar ES nosacījumiem 4.2.1.1.pasākuma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tiks slēgts vairāku pušu sadarbības līgums konkrēto telpu renovācijai.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finansējuma saņēmēja sadarbības partneri būs Bērnu klīniskā universitātes slimnīca, kā arī  valsts un pašvaldības ārstniecības iestādes, lūdzam anotācijā sniegt pamatojumu nacionālā līdzfinansējuma nodrošināšanai tikai no valsts budžeta līdzekļiem.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pasākuma ietvaros tiks nodrošināta valsts apmaksāta pakalpojuma sniegšana visā Latvijas teritorijā sabiedrības interesēs, izvēlētie partneri reģionos ir tikai instruments, ar kuru palīdzību tiek plānota pakalpojuma pieejamība. Nav plānots, ka šīs telpas tiks izmantotas kādam citam mērķim, kā vienīgi valsts apmaksāto pakalpojumu veikšanai, līdz ar to 4.2.1.1. pasākums ir finansējams no ERAF un valsts budžeta finansējuma. Papildus norādām, ka arī ES kohēzijas politikas programmā 2021-2027 4.2.1.1. pasākumam ir paredzēts ES un valsts budžeta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4.2.1.1. pasākuma "Infrastruktūras izveide starpnozaru sadarbības un atbalsta sistēmas izveidei bērnu attīstībai"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nosaukumu, atbilstoši Eiropas Savienības kohēzijas politikas programmas 2021.–2027. gadam norādītājam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nosaukumam.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Attiecīgus precizējumus lūdzam veikt arī noteikumu projekta 1.1. apakšpunktā un visos noteikuma projekta dokumentos.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anotācija, protokollēmums.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4.2.1.1. pasākuma "Infrastruktūras izveide starpnozaru sadarbības un atbalsta sistēmas izveidei bērnu attīstībai"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mērķis ir nodrošināt multiprofesionālās bērnu attīstības speciālistu komandas (turpmāk – multiprofesionālā komanda) darbam nepieciešamo telpu pārbūvi vai atjaunošanu, kā arī transporta un aprīkojuma iegādi vai nomu.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pārformulēt pasākuma mērķi, liekot uzsvaru uz sasniedzamo rezultātu, kas izriet no plānotajām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mērķa piemērs: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infrastruktūru pediatru vadītu multiprofesionālās bērnu attīstības speciālistu komandas (turpmāk – multiprofesionālā komanda) darbam, veidojot starpnozaru sadarbības un atbalsta sistēmu bērnu ar attīstības riskiem izpētei, individuālu atbalsta plānu izstrādei un savlaicīgai palīdzības sniegšanai pedagogiem, izglītības iestādēm un vecākiem.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infrastruktūru  multiprofesionālās bērnu attīstības speciālistu komandas (turpmāk – multiprofesionālā komanda) darbam, sekmējot starpnozaru sadarbības un atbalsta sistēmu bērniem ar attīstības riskiem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mērķis ir izveidot infrastruktūru multiprofesionālās bērnu attīstības speciālistu komandas (turpmāk – multiprofesionālā komanda) darbam, sekmējot starpnozaru sadarbības un atbalsta sistēmu bērniem ar attīstības riskiem ieviešanu.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mērķis ir nodrošināt multiprofesionālās bērnu attīstības speciālistu komandas (turpmāk – multiprofesionālā komanda) darbam nepieciešamo telpu pārbūvi vai atjaunošanu, kā arī transporta un aprīkojuma iegādi vai nomu.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šī punkta redakciju ar šo noteikumu 19.2. un 19.4. apakšpunktā norādītajām atbalstāmajām darbībām un izmaksām. Pasākuma mērķī norādīts, ka tas vērsts uz telpu pārbūvi vai atjaunošanu, bet 19.2. apakšpunktā tas paplašināts arī ar jaunu būvju būvniecību - lūdzam izvērtēt, vai ņemot vērā norādīto finansējuma apmēru, jaunu ēku būvniecība būtu ieklaujama atbalstāmajās 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2.punktā paredzēta transporta un aprīkojuma iegāde vai noma, bet 19.4. apakšpunktā aprīkojuma noma nav paredzēta un ņemot vērā pasākuma mērķi arī nebūtu atbalstāma. Nomas izmaksas ir attiecināmas tikai projekta īstenošanas laikā, lai nodrošinātu, ka izveidotajai multiprofesionālajai komandai ir pieejams autotransports, ja tāds nepieciešams pakalpojuma nodrošināšanai arī pēc projekta īstenošanas laika, aicinām pārskatīt, vai lietderīgāk nebūtu paredzēt tikai autotransporta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labojumus šajā noteikumu punktā, lūdzam attiecīgi precizēt informāciju arī pārējos noteikumu punktos un anotācijā, izdarot nepieciešamos labojumus atbilstošajās sadaļās.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mērķis ir izveidot infrastruktūru multiprofesionālās bērnu attīstības speciālistu komandas (turpmāk – multiprofesionālā komanda) darbam, sekmējot starpnozaru sadarbības un atbalsta sistēmu bērniem ar attīstības riskiem ieviešanu.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attiecināmais finansējums ir 4 350 000 </w:t>
            </w:r>
            <w:r w:rsidR="00000000" w:rsidRPr="00000000" w:rsidDel="00000000">
              <w:rPr>
                <w:i w:val="1"/>
                <w:rtl w:val="0"/>
              </w:rPr>
              <w:t xml:space="preserve">euro </w:t>
            </w:r>
            <w:r w:rsidR="00000000" w:rsidRPr="00000000" w:rsidDel="00000000">
              <w:rPr>
                <w:rtl w:val="0"/>
              </w:rPr>
              <w:t xml:space="preserve">(no tā elastības finansējums – 686 105 </w:t>
            </w:r>
            <w:r w:rsidR="00000000" w:rsidRPr="00000000" w:rsidDel="00000000">
              <w:rPr>
                <w:i w:val="1"/>
                <w:rtl w:val="0"/>
              </w:rPr>
              <w:t xml:space="preserve">euro</w:t>
            </w:r>
            <w:r w:rsidR="00000000" w:rsidRPr="00000000" w:rsidDel="00000000">
              <w:rPr>
                <w:rtl w:val="0"/>
              </w:rPr>
              <w:t xml:space="preserve">), tai skaitā Eiropas Reģionālās attīstības fonda finansējums 3 697 500 </w:t>
            </w:r>
            <w:r w:rsidR="00000000" w:rsidRPr="00000000" w:rsidDel="00000000">
              <w:rPr>
                <w:i w:val="1"/>
                <w:rtl w:val="0"/>
              </w:rPr>
              <w:t xml:space="preserve">euro </w:t>
            </w:r>
            <w:r w:rsidR="00000000" w:rsidRPr="00000000" w:rsidDel="00000000">
              <w:rPr>
                <w:rtl w:val="0"/>
              </w:rPr>
              <w:t xml:space="preserve">(no tā elastības finansējums – 583 189 </w:t>
            </w:r>
            <w:r w:rsidR="00000000" w:rsidRPr="00000000" w:rsidDel="00000000">
              <w:rPr>
                <w:i w:val="1"/>
                <w:rtl w:val="0"/>
              </w:rPr>
              <w:t xml:space="preserve">euro</w:t>
            </w:r>
            <w:r w:rsidR="00000000" w:rsidRPr="00000000" w:rsidDel="00000000">
              <w:rPr>
                <w:rtl w:val="0"/>
              </w:rPr>
              <w:t xml:space="preserve">) un valsts budžeta līdzfinansējums – 652 500 </w:t>
            </w:r>
            <w:r w:rsidR="00000000" w:rsidRPr="00000000" w:rsidDel="00000000">
              <w:rPr>
                <w:i w:val="1"/>
                <w:rtl w:val="0"/>
              </w:rPr>
              <w:t xml:space="preserve">euro </w:t>
            </w:r>
            <w:r w:rsidR="00000000" w:rsidRPr="00000000" w:rsidDel="00000000">
              <w:rPr>
                <w:rtl w:val="0"/>
              </w:rPr>
              <w:t xml:space="preserve">(no tā elastības finansējums – 102 916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finansējumu atbilstoši Eiropas Savienības kohēzijas politikas programmā 2021.–2027. gadam un noteikumu projekta 8.punktā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plānotais kopējais attiecināmais finansējums ir 4 350 000 euro (no tā elastības finansējums – 686 10</w:t>
            </w:r>
            <w:r w:rsidR="00000000" w:rsidRPr="00000000" w:rsidDel="00000000">
              <w:rPr>
                <w:b w:val="1"/>
                <w:rtl w:val="0"/>
              </w:rPr>
              <w:t xml:space="preserve">4</w:t>
            </w:r>
            <w:r w:rsidR="00000000" w:rsidRPr="00000000" w:rsidDel="00000000">
              <w:rPr>
                <w:rtl w:val="0"/>
              </w:rPr>
              <w:t xml:space="preserve"> euro), tai skaitā Eiropas Reģionālās attīstības fonda finansējums 3 697 500 euro (no tā elastības finansējums – 583 189 euro) un valsts budžeta līdzfinansējums – 652 500 euro (no tā elastības finansējums – 102 91</w:t>
            </w:r>
            <w:r w:rsidR="00000000" w:rsidRPr="00000000" w:rsidDel="00000000">
              <w:rPr>
                <w:b w:val="1"/>
                <w:rtl w:val="0"/>
              </w:rPr>
              <w:t xml:space="preserve">5</w:t>
            </w:r>
            <w:r w:rsidR="00000000" w:rsidRPr="00000000" w:rsidDel="00000000">
              <w:rPr>
                <w:rtl w:val="0"/>
              </w:rPr>
              <w:t xml:space="preserve">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tai skaitā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pieejamais kopējais attiecināmais finansējums ir 4 350 000 euro, tai skaitā Eiropas Reģionālās attīstības fonda finansējums 3 697 500 euro un valsts budžeta līdzfinansējums – 652 500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Eiropas Reģionālās attīstības fonda finansējums projektā nepārsniedz 85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10. un 11.punktu, atbilstoši vadošās iestādes vadlīniju nr. 1.4. "Vadlīnijas Ministru kabineta noteikumu par specifiskā atbalsta mērķa īstenošanu izstrādei Eiropas Savienības fondu 2021.—2027. gada plānošanas periodā" ieteikumam, lai nodrošinātu vienotu izpratni un terminoloģijas izmantošanu Eiropas Savienības fondu pasākuma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Eiropas Reģionālās attīstības fonda finansējums projektā nepārsniedz 85 procentus no projektam pieejamā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budžeta līdzfinansējums ir 15 procenti no projektam pieejamā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Eiropas Reģionālās attīstības fonda finansējums projektā nepārsniedz 85 procentus no projektam pieejamā kopējā attiecināmā finansējuma.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projekta īstenošanu pamatojošās dokumentācijas izstrāde (izņemot projekta iesnieguma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paskaidrojumu, kas ietilpst šajā atbalstāmajā darbībā, ieteikums pie šīs atbalstāmās darbības - ietvert būvekspertīzi, nevis 19.2. apakšpunktā, kā arī atsevišķi no 19.2. apakšpunkta izdalīt atbalstāmo darbību - autoruzraudzību.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īstenošanu pamatojošās dokumentācijas izstrāde (izņemot projekta iesnieguma izstrādi), kas ietver būvniecības ieceres dokumentācijas izstrādes, būvprojekta, tai skaitā paskaidrojuma raksta pielikumu izstrādes, tehniskās apsekošanas atzinumu, būvekspertīzes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Precizēts 19.1. apakšpunkts, svītrota būvekspertīze no 19.2.apakšpunkta, autoratlīdzība tomēr netika izdalīta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projekta īstenošanu pamatojošās dokumentācijas izstrāde (izņemot projekta iesnieguma izstrādi), kas ietver būvniecības ieceres dokumentācijas izstrādes, būvprojekta, tai skaitā paskaidrojuma raksta pielikumu izstrādes, tehniskās apsekošanas atzinumu, būvekspertīzes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mobilitātes nodrošināšanai nepieciešamo autotransporta pakalpojumu nodrošināšana vai autotransporta iegāde un uzturēšana;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autotransporta uzturēšanas izmaksu iekļaušanu šī pasākuma atbalstāmo darbību izmaksās. Lūdzam izvērtēt, vai šāda veida izmaksas nebūtu atbilstošāk iekļaut izmaksās, kas norādītas anotācijā, proti, ka Multiprofesionālo komandu darbība tiks finansēta no 4.3.6.7. pasākuma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4.3.6.7. pasākuma ietvaros nav paredzētas šādas izmaksas, līdz ar to ar autotransportu saistītās izmaksas tiks finansētas vai nu no tiešajām vai netiešajām 4.2.1.1.pasākuma izmaksām atbilstoši “Attiecināmo izmaksu vadlīnijās" noteiktajam. Punkts papildināts ar uzlādes iekārtas iegādi, lai varētu tikt nodrošināta elektromobiļu uzlāde.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mobilitātes nodrošināšanai nepieciešamo autotransporta pakalpojumu nodrošināšana, tai skaitā noma vai autotransporta iegāde un uzturēšana, tai skaitā uzlādes iekārtas iegāde;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finansējuma saņēmēja iekšzemes komandējumu izmaksas un darba braucienu izmaksas atbilstoši vadošās iestādes izstrādātajām metodikām "Vienas vienības izmaksu standarta likmes aprēķina un piemērošanas metodika 1 km izmaksām darbības programmas "Izaugsme un nodarbinātība" un Eiropas Savienības kohēzijas politikas programmas 2021.–2027. gadam īstenošanai" un "Vienas vienības izmaksu standarta likmes aprēķina un piemērošanas metodika iekšzemes komandējumu izmaksām darbības programmas "Izaugsme un nodarbinātība" un Eiropas Savienības kohēzijas politikas programmas 2021.–2027. gadam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šo noteikumu 21.2. un 21.3. punktā iekļauto izmaksu atbilstību pasākuma mērķim- infrastruktūras izveidei- un vai šīs izmaksas nedublējas ar 4.3.6.7. pasākuma izmaksām. Ja komandējuma un transporta izmaksas ir plānots kompensēt projekta tiešajām personālam gan FS, gan projekta sadarbības partnerim, lūdzam izvērtēt, vai noteikumu 21.2 un 21.3. punkta izmaksas nebūtu uzskaitāmas kā attiecināmas saistībā ar 20.1.1.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21.2. un 21.3. apakšpunkts, sašaurinot punkta redakciju līdz projekta vadības personālam, uz kuru tiek attiecinātas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20.1.1.apakšpunktā nav iespējas ietvert transporta un komandējuma izdevumus, ņemot vērā, ka tiek piemērota vienotā likme.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finansējuma saņēmēja un sadarbības partnera projekta vadības iekšzemes komandējumu izmaksas un darba braucienu izmaksas atbilstoši vadošās iestādes izstrādātajām metodikām "Vienas vienības izmaksu standarta likmes aprēķina un piemērošanas metodika 1 km izmaksām darbības programmas "Izaugsme un nodarbinātība" un Eiropas Savienības kohēzijas politikas programmas 2021.–2027. gadam īstenošanai" un "Vienas vienības izmaksu standarta likmes aprēķina un piemērošanas metodika iekšzemes komandējumu izmaksām darbības programmas "Izaugsme un nodarbinātība" un Eiropas Savienības kohēzijas politikas programmas 2021.–2027. gadam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citas normatīvajos aktos noteiktās maksas un maksājumi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 atbalstāmo darbību nodrošināšanai (piemēram, par obligāto apdrošināšanu, būvatļauju saņemšanu, būvju nodošanu ekspluatācijā), kas var tikt veikti bez iepirkuma līguma (piemēram, pamatojoties uz izrakstīto rēķinu);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vārdus "par obligāto apdrošināšanu", jo atbilstoši vadošās iestādes vadlīniju Nr. 1.2."Vadlīnijas attiecināmo izmaksu noteikšanai Eiropas Savienības kohēzijas politikas programmas 2021.-2027.gada plānošanas periodā" 5.2. apakšpunktam, apdrošināšanas izmaksas ir projekta netiešās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"obligātā apdrošināšana".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citas normatīvajos aktos noteiktās maksas un maksājumi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minēto atbalstāmo darbību nodrošināšanai (piemēram, būvatļauju saņemšanu, būvju nodošanu ekspluatācijā), kas var tikt veikti bez iepirkuma līguma (piemēram, pamatojoties uz izrakstīto rēķinu);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Finansējuma saņēmējs un sadarbības partneris iepirkuma līgumos, kurus slēdz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 atbalstāmo darbību īstenošanai, ja finansējuma saņēmējam vai sadarbības partnerim ir nepieciešams piesaistīt pakalpojumu sniedzējus, avansa maksājumus var paredzēt ne vairāk kā 20 procentu apmērā (nepiemērojot Ministru kabineta 2016. gada 20. septembra instrukciju Nr. 3 "Ārvalstu finanšu instrumentu finansētu civiltiesisku līgumu izstrādes un slēgšanas instrukcija valsts tiešās pārvaldes iestādēs") no attiecīgā iepirkumu līguma summas (neieskaitot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27.punkta izriet, ka nosakot avansa maksājuma apmēru netiek piemērota Ministru kabineta 2016. gada 20. septembra instrukcija Nr. 3 "Ārvalstu finanšu instrumentu finansētu civiltiesisku līgumu izstrādes un slēgšanas instrukcija valsts tiešās pārvaldes iestādēs" (turpmāk - Instrukcija). Instrukcijas 71.punkts nosaka, ka avansa maksājumu var paredzēt līdz 20 % no līgumcenas, izņemot gadījumus, kad avansa maksājums un tā apmērs ir noteikts normatīvajos aktos par attiecīgā ārvalstu finanšu instrumenta īstenošanu. Ņemot vērā Instrukcijas 71.punktā  un 72.punktā  noteikto lūdzam noteikumu projekta anotācijā skaidrot noteikumu projekta 27.punktā noteikto izņēmumu, lai nerastos interpretācijas problēmas par attiecīgās tiesību normas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Finansējuma saņēmējs un sadarbības partneris iepirkuma līgumos, kurus slēdz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minēto atbalstāmo darbību īstenošanai, ja finansējuma saņēmējam vai sadarbības partnerim ir nepieciešams piesaistīt pakalpojumu sniedzējus, avansa maksājumus var paredzēt ne vairāk kā 20 procentu apmērā (nepiemērojot Ministru kabineta 2016. gada 20. septembra instrukciju Nr. 3 "Ārvalstu finanšu instrumentu finansētu civiltiesisku līgumu izstrādes un slēgšanas instrukcija valsts tiešās pārvaldes iestādēs") no attiecīgā iepirkumu līguma summas (neieskaitot pievienotās vērtības nodokli).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28.4.2. parakstījuši apliecinājumus par interešu konflikta neesību saskaņā ar Eiropas Parlamenta un Padomes 2024. gada 23. septembra Regulas (ES, </w:t>
            </w:r>
            <w:r w:rsidR="00000000" w:rsidRPr="00000000" w:rsidDel="00000000">
              <w:rPr>
                <w:i w:val="1"/>
                <w:rtl w:val="0"/>
              </w:rPr>
              <w:t xml:space="preserve">Euratom</w:t>
            </w:r>
            <w:r w:rsidR="00000000" w:rsidRPr="00000000" w:rsidDel="00000000">
              <w:rPr>
                <w:rtl w:val="0"/>
              </w:rPr>
              <w:t xml:space="preserve">) 2024/2509 par finanšu noteikumiem, ko piemēro Savienības vispārējam budžetam (pārstrādāta redakcija), 61. pantu un publisko iepirkumu regulējošiem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svītrot noteikumu  28.4.2. apakšpunktā atsauci uz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 ņemot vērā to, ka minētās regulas 61.pants, kā arī šobrīd spēkā esošās Eiropas Parlamenta un Padomes 2024. gada 23. septembra Regulas (ES, Euratom) 2024/2509 par finanšu noteikumiem, ko piemēro Savienības vispārējam budžetam (pārstrādātā redakcija) 61.panta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atsauce uz Eiropas Parlamenta un Padomes 2018. gada 18. jūlija Regulas (ES, Euratom) Nr. 2018/1046  61.pantu.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26.4.2. parakstījuši apliecinājumus par interešu konflikta neesību saskaņā ar publisko iepirkumu regulējošiem normatīvajiem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28.8. pasākuma ietvaros neplāno atbalstu tādām darbībām, kurām atbalsts atbilstoši Komercdarbības atbalsta kontroles likuma 5. pantam būtu kvalificējams kā komercdarbības atbalsts. Ja projekta īstenošanas laikā konstatē, ka sniegtais atbalsts ir kvalificējams kā komercdarbības atbalsts, finansējuma saņēmējs atmaksā sadarbības iestādei nelikumīgo atbalstu kopā ar procentiem no līdzekļiem, kas ir brīvi no komercdarbības atbalsta,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pasākuma ietvaros visā ieguldījumu amortizācijas periodā (ne tikai projekta īstenošanas laikā) ir jānodrošina, ka atbalsts netiek sniegts tādām saimnieciskām darbībām, kurām atbalsts atbilstoši Komercdarbības atbalsta kontroles likuma 5. pantam būtu kvalificējams kā komercdarbības atbalsts. Ņemot vērā iepriekš minēto, lūdzam precizēt noteikumu projekta 28.8. apakšpunkta otrā teikuma daļu, norādot, ka, "ja ieguldījumu amortizācijas periodā konstatē, ka sniegtais atbalsts ir kvalificējams kā komercdarbības atbalsts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26.8. pasākuma ietvaros neplāno atbalstu tādām darbībām, kurām atbalsts atbilstoši Komercdarbības atbalsta kontroles likuma 5. pantam būtu kvalificējams kā komercdarbības atbalsts. Ja ieguldījumu īstenošanas un amortizācijas periodā konstatē, ka sniegtais atbalsts ir kvalificējams kā komercdarbības atbalsts, finansējuma saņēmējs atmaksā sadarbības iestādei nelikumīgo atbalstu kopā ar procentiem no līdzekļiem, kas ir brīvi no komercdarbības atbalsta, saskaņā ar Komercdarbības atbalsta kontroles likuma IV vai V nodaļu;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Pasākuma ietvaros projektu īsteno saskaņā ar vienošanos vai līgumu par projekta īstenošanu, bet ne ilgāk kā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noteikto finansējuma saņēmēja juridisko statusu, lūdzam noteikumu projekta 29.punktā svītrot vārdus "vai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Pasākuma ietvaros projektu īsteno saskaņā ar vienošanos par projekta īstenošanu, bet ne ilgāk kā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ietvaros projektu īsteno saskaņā ar vienošanos par projekta īstenošanu, bet ne ilgāk kā līdz 2029.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- 31.10.2025.)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plānots, ka sadarbības partneriem tiks segti izdevumi, kas radušies saistībā ar novirzītajām cilvēkresursu slodzēm, telpu un aprīkojuma, kā arī tiks segti elektorauto uzturēšanai nepieciešamie izdevumi. Plānotais atlīdzības izmaksu apmērs nepārsniegs tirgus vērtību atbilstošiem attiecīgās jomas speciālistiem, bet izmaksas par telpām, aprīkojumu un autotransportu tiks segtas atbilstoši noslēgtajiem līgumiem par pakalpojuma sniegšanu, līdz ar to tiek izslēgta komercdarbības atbalsta 2. pazīme (ekonomiskā priekšrocība), kas minēta Komercdarbības atbalsta kontroles likuma 5. panta 2. punktā, un 4.2.1.1. pasākuma finansējums saistībā ar sadarbības partneriem nav uzskatāms par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iepriekšminēto "nav uzskatāms par komercdarbības atbalstu" , vēršam uzmanību, ka visas iestādes ir SIA un tātad   komersanti, pat ja kapitāla daļas pieder pašvaldībai, tās ir komercsabiedrības, kas var sniegt maksas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plānots pielāgot telpas un šīs telpas pēc tam tiek izmantotas tikai sabiedrības (publiskā) pakalpojuma sniegšanai (nevis komerciālai darbībai), tad  iespējams var argumentēt, ka finansējums nav komercdarbības atbalsts, jo nav ekonomiskas priekšrocības (atbalsts nesniedz labumu, kas sagroza konkurenci), un ieguldījums tiek izmantots publiska pakalpojuma nodrošināšanai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ieguldījumi plānoti saskaņā ar Jauno Eiropas Bauhaus iniciatīvu, ņemot vērā, ka noteikumu projekts paredz ieguldījumus jaunā būvniecībā. Pieejams: https://new-european-bauhaus.europa.eu/index_en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izņēmumu gadījumos, kad nebūs pieejamas nepieciešamās telpas reģionā, ieguldījumus veikt jaunas ēkas būvniecībā, kas tiks plānoti saskaņā ar Jauno Eiropas Bauhaus iniciatīvu https://new-european-bauhaus.europa.eu/index_en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no kādiem līdzekļiem tiks nodrošināta pasākuma rezultātu ilgtspēja vai uzturēšana, ievērojot to, ka tiek paredzēti ieguldījumi infrastruktūrā. Minētais vērtējams kontekstā ar HP “Klimatdrošināšana” prasībām – KNR* 73. panta 2. punkta j) apakšpunktu, kurā noteikts, ka klimatdrošināšana tiek veikta investīcijām infrastruktūrā, kuras paredzamais kalpošanas laiks ir vismaz pieci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Pieejams: https://eur-lex.europa.eu/legal-content/LV/TXT/?uri=CELEX%3A32021R1060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Skaidrojam, ka pasākuma rezultātu uzturēšana tiks nodrošināta no valsts budžeta līdzekļiem, ņemot vērā, ka ir pieņemts lēmums par agrīnās prevensijas sistēmas izstrādi un ieviešanu Latvijā, kā arī notiek darbs pie normatīvā regulējama izstrādes, kas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“Valsts kancelejai Agrīnā preventīvā atbalsta pakalpojumu sistēmas izstrādes deleģējums ir noteikts ar Ministru kabineta 2021. gada 29. jūnija sēdes protokollēmumā (prot. Nr. 50 36. § 2. punkts) doto uzdevumu – Pārresoru koordinācijas centram sadarbībā ar Izglītības un zinātnes ministriju un Veselības ministriju uzsākt darbu, lai līdz 2023. gada 31. decembrim izstrādātu bērnu vecumā no 1,5 līdz 6 gadiem vienotu agrīnās attīstības vajadzību novērtējuma metodisko instrumentu komplektu izmantošanai izglītības un veselības aprūpes jomā, ietverot arī speciālo vajadzību novērtēšanas instrumentu izglītojamiem pirms obligātās pirmsskolas izglītības uzsākšanas”, savukārt šī pasākuma ietvaros mērķa grupa ir bērni ar attīstības grūtībām, attīstības nepietiekamību vai tās veidošanās risku vecumā līdz 18 gadiem. Lūdzam anotācijā attiecīgi precizēt skaidrojumu Valsts kancelejas Pārresoru koordinācijas departamentam noteikto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šo noteikumu ietvaros tiek regulēts materiāli tehniskās bāzes nodrošinājums agrīnās prevencijas atbalsta pakalpojumu pieejamībai, savukārt 4.3.6.7.pasākuma ietvaros, kuru īstenošanu regulē 2023.gada 12.decembra MK noteikumu Nr.749 " 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anotācijā, ir uzskaitīti visi dotie uzdevumi un deleģējumi Valsts kancelejas Pārresoru koordinācijas departamentam saistībā ar Bērnu Agrīnās prevencijas pakalpojumu sistēmas izveidi. Papildus norādām, ka visiem Agrīnās prevencijas instrumentu izstrādei nav nepieciešams atsevišķs deleģējums, jo tas ir noteikts 4.3.6.7.pasākuma noteikumos un apstiprinātajā 1.kārtas projektā, kā arī tiks iestrādāts 2.kārtas projektā, kuros ir paredzēts atbalsts bērniem līdz 18 gadiem. Papildus norādām, ka mērķa grupas vecuma ierobežojums ir sasaistīt ar ESF + regulā definētajiem  rādītājiem.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izvērstāku skaidrojumu, kādēļ varētu neveikt ekonomiskā lietderīguma (izmaksu un ieguvumu analīzes) izvērtējumu projekta vai specifiskā atbalsta programmas līmenī. Tā kā projekts ir tieši vērsts uz problēmu savlaicīgu novērtēšanu, projektam ir sagaidāmi pozitīvi sociālekonomiski rezultāti un aicinām iekļaut anotācijā informāciju par sociālekonomiskajiem ieguvumiem vismaz aprakstoši, ja ne kvantitatīvi. Aicinām ņemt vērā 4.3.6.7. SAM norādītos sociālekonomiskos ieguvumus.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Precizēts ar aprakstiem no 4.3.6.7.pasākuma, ņemot vērā, ka 4.2.1.1.pasākumam ir cieša sinerģija ar 4.3.6.7.pasākumu.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anotāciju ar novērtējumu par plānoto ietekmi uz tautsaimniecību , t.sk. pēc iespējas norādot izmērāmus faktiski sagaidāmos rezultātus/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rādītājiem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6.punkta pirmajā rindkopā norādīto finansējuma sadalījumu pa pozīcijām, lai tas atbilstu otrajā rindkopā norādītajam apmēram, kā arī tabulā “Indikatīvais finansējuma sadalījums pa gadiem (var tikt precizēts pēc pasākuma projekta apstiprināšanas)” precizēt 2027. un 2028. gadā plānoto kopējo finansējuma apmēru, ņemot vērā norādītā finansējuma apmēru pa pozīcijām.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izpildē iesaistītā institūcija ir arī Valsts kancelejas Pārresoru koordinācijas departaments kā projekta iesniedzējs, tad aicinām ar attiecīgo institūciju papildināt noteikumu projekta anotācijas 7.sadaļas 7.1.apakšpunktu.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28.13.apakšpunkts nosaka informācijas par diviem HP VINPI rādītājiem uzkrāšanu, bet saskaņā ar metodikas (Nr.3.1.) "Eiropas Reģionālās attīstības fonda, Eiropas Sociālā fonda plus, Kohēzijas fonda un Taisnīgas pārkārtošanās fonda projektu iesniegumu atlases metodika 2021.–2027.gadam" norādījumiem, minimālā prasība projektiem, kuriem ir netieša ietekme uz VINPI, ir jāuzkrāj informācija par 1 rādītāju, ja ir tieša ietekme uz VINPI - vismaz 2 rādītājiem, lūdzam salāgot anotācijā un 28.13.apakšpunktā norādītās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anotācijas 8.2. sadaļu ar informāciju, vai projektā jāparedz darbības horizontālo principu "Klimatdrošināšana", "Energoefektivitāte pirmajā vietā" un "Nenodarīt būtisku kaitējumu" ieviešanai.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28.punkts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4.2.1.1. pasākuma "Infrastruktūras izveide starpnozaru sadarbības un atbalsta sistēmas izveidei bērnu attīstībai"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protokollēmuma projektu ar punktu, kas nosaka, ka Valsts kancelejai informēt Ministru kabinetu par tālāku rīcību 4.2.1.1. pasākuma "Infrastruktūras izveide starpnozaru sadarbības un atbalsta sistēmas izveidei bērnu attīstībai" īstenošanā, ja Eiropas Komisija neatbalsta Eiropas Savienības kohēzijas politikas programmas 2021.–2027. gadam grozījumu priekšlikumu par šī pasākuma atbalstāmo darbību papildināšanu ar autotransportu, kā daļu no infrastruktūras izveides.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4.2.1.1. pasākuma "Infrastruktūras izveide starpnozaru sadarbības un atbalsta sistēmas izveidei bērnu attīstībai"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kancelejai sadarbībā ar Veselības ministriju, Izglītības un zinātnes ministriju, Labklājības ministriju, iesaistītajām pašvaldībām,  VSIA "Bērnu klīniskā universitātes slimnīca'' un citām iesaistītajām institūcijām sagatavot un līdz 2028. gada 1. jūlijam iesniegt Ministru kabinetā informatīvo ziņojumu par multiprofesionālo bērnu attīstības speciālistu komandu darbības efektivitātes un lietderības sākotnējo izvērtējumu, ietverot tajā priekšlikumus pedagoģiski medicīnisko komisiju reformas pabeigšanai laikposmā līdz 2029. gada 30. septembrim un bērnu attīstības multiprofesionālo bērnu attīstības speciālistu komandu darbības ilgtspējai  VSIA "Bērnu klīniskā universitātes slimnīca'' vadībā pēc projekta pabeigšanas.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šo tiesību aktu nodot saskaņošanai Tiesību aktu portālā arī Labklājības ministrijai un Izglītības un zinātnes ministrijai, ņemot vērā protokollēmuma projektā definētos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Labklājības ministrija (sadarbībā ar Tieslietu ministriju) ir atbildīga par horizontālā principa “Vienlīdzība, iekļaušana, nediskriminācija un pamattiesību ievērošana" koordināciju (ieviešanas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izdarīts.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kancelejai sadarbībā ar Veselības ministriju, Izglītības un zinātnes ministriju, Labklājības ministriju, iesaistītajām pašvaldībām,  VSIA "Bērnu klīniskā universitātes slimnīca'' un citām iesaistītajām institūcijām sagatavot un līdz 2028. gada 1. jūlijam iesniegt Ministru kabinetā informatīvo ziņojumu par multiprofesionālo bērnu attīstības speciālistu komandu darbības efektivitātes un lietderības sākotnējo izvērtējumu, ietverot tajā priekšlikumus pedagoģiski medicīnisko komisiju reformas pabeigšanai laikposmā līdz 2029. gada 30. septembrim un bērnu attīstības multiprofesionālo bērnu attīstības speciālistu komandu darbības ilgtspējai  VSIA "Bērnu klīniskā universitātes slimnīca'' vadībā pēc projekta pabeigšanas.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25-TA-2273</w:t>
    </w:r>
    <w:r>
      <w:br/>
    </w:r>
    <w:r w:rsidR="00000000" w:rsidRPr="00000000" w:rsidDel="00000000">
      <w:rPr>
        <w:rtl w:val="0"/>
      </w:rPr>
      <w:t xml:space="preserve">06.03.2026. 19.05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25-TA-2273</w:t>
    </w:r>
    <w:r>
      <w:br/>
    </w:r>
    <w:r w:rsidR="00000000" w:rsidRPr="00000000" w:rsidDel="00000000">
      <w:rPr>
        <w:rtl w:val="0"/>
      </w:rPr>
      <w:t xml:space="preserve">06.03.2026. 19.05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Izziņa_25-TA-2273.docx</dc:title>
</cp:coreProperties>
</file>

<file path=docProps/custom.xml><?xml version="1.0" encoding="utf-8"?>
<Properties xmlns="http://schemas.openxmlformats.org/officeDocument/2006/custom-properties" xmlns:vt="http://schemas.openxmlformats.org/officeDocument/2006/docPropsVTypes"/>
</file>