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11. novembra rīkojumā Nr. 826 "Par Elektronisko sakaru nozares attīstības plānu 2021.–2027.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(11.11.2021.)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Elektronisko sakaru nozares attīstības plānu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rīkojuma projekta 1. punktu, nepieciešamības gadījumā to precizējot un sniedzot skaidrojumus anotācijas 1.3. apakšsadaļā (atspoguļojot projekta 1. punkta nepieciešamību, mērķi) vai svītrojot konkrēto rīkojuma projekta punktu. Tādā veidā nodrošinot korektu rīkojuma projekta redakciju un skaidrus, nepārprotamus tā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pamatojoties uz rīkojuma projekta 1. punktu Ministru kabineta 2021. gada 11. novembra rīkojuma Nr. 826 "Par Elektronisko sakaru nozares attīstības plānu 2021.–2027. gadam" (turpmāk - Rīkojums) nosaukums tiek izteikts jaunā redakcijā. Savukārt, salīdzinot Rīkojuma nosaukumu ar grozījumos piedāvāto redakciju konstatējams, ka tās savstarpēji neatšķiras, attiecīgi, rīkojuma projekta 1. punkts šķietami nav nepieciešams.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atbalstīt Elektronisko sakaru nozares attīstības plāna 2021.–2027. gadam konsolidēto redakciju, vienlaikus plāna konsolidētajai redakcijai nav pievienots plāna 1., 2. un 3.pielikums. Ņemot vērā minēto, lūdzam anotācijas 1.3.sadaļu papildināt ar skaidrojumu, kāpēc attiecīgie pielikumi nav pievienoti (piemēram, vai tie tiek saglabāti redakcijās, kas tika apstiprinātas ar sākotnējo plānu, vai arī ir citi skaidrojoši iemesli).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rīkojuma projekta anotācijas 1.3. sadaļa ar skaidrojumu šādā redakcijā: "Elektronisko sakaru nozares attīstības plāna 2021.–2027. gadam 1. pielikums, 2. pielikums un 3. pielikums tiek saglabāti esošajās redakcijās, kas tika apstiprinātas ar sākotnējo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konkretizējot risinājuma apraksta sadaļu, lai rīkojuma projektu un tā pielikumu, tiesību normu piemērotājs varētu efektīvāk piemērot praksē. Vēršam uzmanību, ka pašreizējais skaidrojums ir šķietami vispārināts un nepietiekami konkretizēts. Attiecīgi iesakām, piemēram, norādīt, ka grozījumi attiecināmi tieši uz ar Rīkojumu apstiprinātā Elektronisko sakaru nozares attīstības plāna 2021.–2027. gadam 3. punktu, kas domājams ir vienīgā sadaļa, no kuras tiek svītrotas prasības par augšupielādes ātruma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atsauce uz augšupielādes pārraides ātruma pieejamību vismaz 100 Mbit/s ir saglabāta "Elektronisko sakaru nozares attīstības plāna 2021.–2027. gadam" 29. un 31. lapā. Attiecīgi, nepieciešamības gadījumā, iesakām veikt precizējumus arī "Elektronisko sakaru nozares attīstības plāna 2021.–2027. gadam" 29. un 31. lapā.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1.3. sadaļa ar risinājuma aprakstu šādā redakcijā: "Ierosinātie grozījumi attiecināmi tikai uz Elektronisko sakaru nozares attīstības plāna 2021.–2027. gadam (apstiprināts ar Ministru kabineta 2021. gada 11. novembra rīkojumu Nr. 826) 3. sadaļu “Plāna mērķi, rīcības virzieni un rezultāti”, svītrojot prasības "pēdējās jūdzes" elektronisko sakaru tīklu infrastruktūras attīstīšanas modelī par augšupielādes ātruma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29. un 31. lapaspusē nav jāveic precizējumi, jo konkrētajās rindkopās aprakstīta pēc Satiksmes ministrijas pasūtījuma veiktā pētījuma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w:t>
    </w:r>
    <w:r>
      <w:br/>
    </w:r>
    <w:r w:rsidR="00000000" w:rsidRPr="00000000" w:rsidDel="00000000">
      <w:rPr>
        <w:rtl w:val="0"/>
      </w:rPr>
      <w:t xml:space="preserve">15.03.2024. 13.26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w:t>
    </w:r>
    <w:r>
      <w:br/>
    </w:r>
    <w:r w:rsidR="00000000" w:rsidRPr="00000000" w:rsidDel="00000000">
      <w:rPr>
        <w:rtl w:val="0"/>
      </w:rPr>
      <w:t xml:space="preserve">15.03.2024. 13.26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Izziņa_24-TA-30.docx</dc:title>
</cp:coreProperties>
</file>

<file path=docProps/custom.xml><?xml version="1.0" encoding="utf-8"?>
<Properties xmlns="http://schemas.openxmlformats.org/officeDocument/2006/custom-properties" xmlns:vt="http://schemas.openxmlformats.org/officeDocument/2006/docPropsVTypes"/>
</file>