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23-TA-1305: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2021. gada 7. janvāra noteikumos Nr. 4 "Norvēģijas finanšu instrumenta 2014.–2021. gada perioda programmas "Uzņēmējdarbības attīstība, inovācijas un mazie un vidējie uzņēmumi"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anotācijas 1.6 sadaļā iekļautais skaidrojums. Vēršam uzmanību, ka saskaņā ar Ministru kabineta 2021. gada 7. janvāra noteikumu Nr. 4 “Norvēģijas finanšu instrumenta 2014.–2021. gada perioda programmas “Uzņēmējdarbības attīstība, inovācijas un mazie un vidējie uzņēmumi” īstenošanas noteikumi” (turpmāk – noteikumi Nr. 4) 27.2 apakšpunktu, lēmumu par atbalsta piešķiršanu var pieņemt, ievērojot Komisijas regulas Nr. 651/2014 58. panta 4. punktā un 59. pantā noteikto darbības termiņu, kā arī Eiropas Komisijai ir nosūtīta kopsavilkuma informācija (lietas Nr. SA.103447), kas paredz komercdarbības atbalsta sniegšanu saskaņā Komisijas Regulas Nr. 651/2014 14.pantu, 25.pantu un 28.pantu līdz 2024.gada 30.jūnijam. Ievērojot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gadījumā, ja atbalstu šīs programmas ietvaros ir plānots piešķirt pēc Komisijas Regulas Nr. 651/2014 58.panta 4.punktā noteiktā pārejas perioda (6 mēneši) beigām, lai nodrošinātu noteikumu Nr.4 atbilstību 2023.gada 9.marta Eiropas Komisijas apstiprinātajiem grozījumiem Komisijas regulai Nr. 651/2014, noteikumos Nr.4 ir nepieciešams veikt grozījumus saskaņā ar Komisijas regulas 58.panta 5.punktu. Atkārtoti informējam, ka Eiropas Komisija 2023.gada 9.martā ir apstiprinājusi regulas tekstu angļu valodā, un tuvākajās nedēļās pēc tam, kad teksts tiks iztulkots visās oficiālajās ES valodās, akts tiks oficiāli pieņemts. Tas stāsies spēkā nākamajā dienā pēc publicēšanas Eiropas Savienības Oficiālajā Vēstnesī. Komisijas regulas grozījumu teksts ir pieejams šeit: https://competition-policy.ec.europa.eu/document/9a1802e1-cedc-4f87-a1f6-d6759e4d4660_en.;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gadījumā, ja atbalstu šis programmas ietvaros nav plānots piešķirt pēc Komisijas Regulas Nr. 651/2014 58.panta 4.punktā noteiktā pārejas perioda (6 mēneši) beigām, noteikumos Nr.4 nav nepieciešams veikt grozījumus saskaņā ar Komisijas regulas 58.pantu, bet noteikumos Nr.4 ir skaidri jānorāda termiņš, līdz kuram var pieņemt lēmumu par atbalsta piešķiršanu saskaņā ar Komisijas Regulu Nr. 651/2014.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anotācijas 1.6. sadaļā ietverto skaidrojumu un atbilstoši precizēt noteikumus Nr.4.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31.</w:t>
            </w:r>
            <w:r w:rsidR="00000000" w:rsidRPr="00000000" w:rsidDel="00000000">
              <w:rPr>
                <w:rtl w:val="0"/>
              </w:rPr>
              <w:t xml:space="preserve"> punktā norādītajām darbībām maksimāli pieļaujamā atbalsta intensitāte no 2022. gada 1. janvāra: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gadījumā, ja atbalstu šis programmas ietvaros netiek plānots piešķirt pēc 2023.gada 31.decembra, tad lūdzam noteikumu Nr.4 27.2. apakšpunktā norādīt precīzu termiņu līdz kuram datumam var pieņemt lēmumu par atbalsta piešķiršanu saskaņā ar Komisijas regulu Nr. 651/2014.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atbalstu šis programmas ietvaros tiek plānots piešķirt arī pēc 2023.gada 31.decembra, kad saskaņā ar VARAM 05.04.2023. vēstulē Nr.4-5/1988, kas adresēta arī Ekonomikas ministrijai, minēto stājās spēkā izmaiņas Latvijas statistiskajos reģionos, tad ir nepieciešams precizēt noteikumu Nr.4 30.</w:t>
            </w:r>
            <w:r w:rsidR="00000000" w:rsidRPr="00000000" w:rsidDel="00000000">
              <w:rPr>
                <w:vertAlign w:val="superscript"/>
                <w:rtl w:val="0"/>
              </w:rPr>
              <w:t xml:space="preserve">1</w:t>
            </w:r>
            <w:r w:rsidR="00000000" w:rsidRPr="00000000" w:rsidDel="00000000">
              <w:rPr>
                <w:rtl w:val="0"/>
              </w:rPr>
              <w:t xml:space="preserve"> punkta redakciju, precīzi norādot, ka intensitāšu aprēķinā tiek ņemti vērā Latvijas Republikas statistiskie NUTS 3 līmeņa reģioni saskaņā ar 2021.gada klasifikāciju.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2021. gada nomenklatūra un attiecīgi iepriekšminētās NUTS robežas un saistītās atbalsta intensitātes paliks spēkā visu reģionālā atbalsta karšu darbības laiku neatkarīgi no jebkādām administratīvajām izmaiņām, kas var notikt NUTS vai pašvaldību līmenī. Attiecīgi NUTS robežas un no tā izrietošās reģionālā atbalsta intensitātes, kādas tās bija dalībvalsts reģionālā atbalsta kartes apstiprināšanas brīdī, būs spēkā līdz 2027. gada 31. decembrim un attiecīgi ir jāņem vērā statistiskais reģions, kas bija pieejams dalībvalstu reģionālā atbalsta karšu pieņemšanas brīdī, t.i. 2021. gada  nomenklatūras 3. līmeņa (NUTS 3. līmenis) klasifikācija. Vienlaikus lūdzam ar atbilstošu informāciju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piemēram,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2021. gada NUTS 3 dati reģionā - 40 % (vidējiem komersantiem) vai 50 % (sīkajiem (mikro) vai mazajiem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Kurzemes, Zemgales, Vidzemes un Latgales 2021. gada NUTS 3 datu reģionā - 50 % (vidējiem komersantiem) vai 60 % (sīkajiem (mikro) vai mazajiem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Administratīvām vienībām Limbažu novadā, Ogres novadā, Saulkrastu novadā un Tukuma novadā piemēro 40% vidējiem komersantiem vai 50 % (sīkajiem (mikro) vai mazajiem komersantiem).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31.</w:t>
            </w:r>
            <w:r w:rsidR="00000000" w:rsidRPr="00000000" w:rsidDel="00000000">
              <w:rPr>
                <w:rtl w:val="0"/>
              </w:rPr>
              <w:t xml:space="preserve"> punktā norādītajām darbībām maksimāli pieļaujamā atbalsta intensitāte no 2022. gada 1. janvāra: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1.6. sadaļā ietverto informāciju, ņemot vērā, ka minētās regulas nosaukums ir šāds: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2014. gada 17. jūnija Regula (ES) Nr. 651/2014, ar ko noteiktas atbalsta kategorijas atzīst par saderīgām ar iekšējo tirgu, piemērojot Līguma 107. un 108.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71. </w:t>
            </w:r>
            <w:r w:rsidR="00000000" w:rsidRPr="00000000" w:rsidDel="00000000">
              <w:rPr>
                <w:rtl w:val="0"/>
              </w:rPr>
              <w:t xml:space="preserve">punktā</w:t>
            </w:r>
            <w:r w:rsidR="00000000" w:rsidRPr="00000000" w:rsidDel="00000000">
              <w:rPr>
                <w:rtl w:val="0"/>
              </w:rPr>
              <w:t xml:space="preserve"> norādītajiem iepriekš noteiktā projekta partneriem ir attiecināmas netiešās attiecināmās izmaksas, kas saistītas ar šo noteikumu </w:t>
            </w:r>
            <w:r w:rsidR="00000000" w:rsidRPr="00000000" w:rsidDel="00000000">
              <w:rPr>
                <w:rtl w:val="0"/>
              </w:rPr>
              <w:t xml:space="preserve">72.3. </w:t>
            </w:r>
            <w:r w:rsidR="00000000" w:rsidRPr="00000000" w:rsidDel="00000000">
              <w:rPr>
                <w:rtl w:val="0"/>
              </w:rPr>
              <w:t xml:space="preserve">apakšpunktā</w:t>
            </w:r>
            <w:r w:rsidR="00000000" w:rsidRPr="00000000" w:rsidDel="00000000">
              <w:rPr>
                <w:rtl w:val="0"/>
              </w:rPr>
              <w:t xml:space="preserve"> norādīto pieredzes apmaiņas pasākumu organizēšanu Latvijā un ārvalstīs gala labuma guvējiem un </w:t>
            </w:r>
            <w:r w:rsidR="00000000" w:rsidRPr="00000000" w:rsidDel="00000000">
              <w:rPr>
                <w:rtl w:val="0"/>
              </w:rPr>
              <w:t xml:space="preserve">72.4. </w:t>
            </w:r>
            <w:r w:rsidR="00000000" w:rsidRPr="00000000" w:rsidDel="00000000">
              <w:rPr>
                <w:rtl w:val="0"/>
              </w:rPr>
              <w:t xml:space="preserve">apakšpunktā</w:t>
            </w:r>
            <w:r w:rsidR="00000000" w:rsidRPr="00000000" w:rsidDel="00000000">
              <w:rPr>
                <w:rtl w:val="0"/>
              </w:rPr>
              <w:t xml:space="preserve"> norādīto atbalstāmo darbību īstenošanu un radušās tiešā saistībā ar tiešajām attiecināmajām izmaksām, kuras ir attiecināmas uz iepriekš noteikto projektu. Iepriekš noteiktā projekta netiešās attiecināmās izmaksas aprēķina kā vienotu likmi 25 procentu apmērā no projekta partnera kopējām tiešajām attiecināmajām izmaksām, neieskaitot ārējo pakalpojumu izmaksas un to pieejamo trešo pušu resursu izmaksas, ko neizmanto līdzfinansējuma saņēmēja vai projekta partnera telpās.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1. punktā ietverto noteikumu Nr. 4 73.</w:t>
            </w:r>
            <w:r w:rsidR="00000000" w:rsidRPr="00000000" w:rsidDel="00000000">
              <w:rPr>
                <w:vertAlign w:val="superscript"/>
                <w:rtl w:val="0"/>
              </w:rPr>
              <w:t xml:space="preserve">1</w:t>
            </w:r>
            <w:r w:rsidR="00000000" w:rsidRPr="00000000" w:rsidDel="00000000">
              <w:rPr>
                <w:rtl w:val="0"/>
              </w:rPr>
              <w:t xml:space="preserve"> punkta redakciju, aizstājot vārdu "procentu" ar simbolu "%", ņemot vērā minēto noteikumu tekstā piemēroto praksi.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71. </w:t>
            </w:r>
            <w:r w:rsidR="00000000" w:rsidRPr="00000000" w:rsidDel="00000000">
              <w:rPr>
                <w:rtl w:val="0"/>
              </w:rPr>
              <w:t xml:space="preserve">punktā</w:t>
            </w:r>
            <w:r w:rsidR="00000000" w:rsidRPr="00000000" w:rsidDel="00000000">
              <w:rPr>
                <w:rtl w:val="0"/>
              </w:rPr>
              <w:t xml:space="preserve"> norādītajiem iepriekš noteiktā projekta partneriem ir attiecināmas netiešās attiecināmās izmaksas, kas saistītas ar šo noteikumu </w:t>
            </w:r>
            <w:r w:rsidR="00000000" w:rsidRPr="00000000" w:rsidDel="00000000">
              <w:rPr>
                <w:rtl w:val="0"/>
              </w:rPr>
              <w:t xml:space="preserve">72.3. </w:t>
            </w:r>
            <w:r w:rsidR="00000000" w:rsidRPr="00000000" w:rsidDel="00000000">
              <w:rPr>
                <w:rtl w:val="0"/>
              </w:rPr>
              <w:t xml:space="preserve">apakšpunktā</w:t>
            </w:r>
            <w:r w:rsidR="00000000" w:rsidRPr="00000000" w:rsidDel="00000000">
              <w:rPr>
                <w:rtl w:val="0"/>
              </w:rPr>
              <w:t xml:space="preserve"> norādīto pieredzes apmaiņas pasākumu organizēšanu Latvijā un ārvalstīs gala labuma guvējiem un </w:t>
            </w:r>
            <w:r w:rsidR="00000000" w:rsidRPr="00000000" w:rsidDel="00000000">
              <w:rPr>
                <w:rtl w:val="0"/>
              </w:rPr>
              <w:t xml:space="preserve">72.4. </w:t>
            </w:r>
            <w:r w:rsidR="00000000" w:rsidRPr="00000000" w:rsidDel="00000000">
              <w:rPr>
                <w:rtl w:val="0"/>
              </w:rPr>
              <w:t xml:space="preserve">apakšpunktā</w:t>
            </w:r>
            <w:r w:rsidR="00000000" w:rsidRPr="00000000" w:rsidDel="00000000">
              <w:rPr>
                <w:rtl w:val="0"/>
              </w:rPr>
              <w:t xml:space="preserve"> norādīto atbalstāmo darbību īstenošanu un radušās tiešā saistībā ar tiešajām attiecināmajām izmaksām, kuras ir attiecināmas uz iepriekš noteikto projektu. Iepriekš noteiktā projekta netiešās attiecināmās izmaksas aprēķina kā vienotu likmi 25 % apmērā no projekta partnera kopējām tiešajām attiecināmajām izmaksām, neieskaitot ārējo pakalpojumu izmaksas un to pieejamo trešo pušu resursu izmaksas, ko neizmanto līdzfinansējuma saņēmēja vai projekta partnera telpās.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72.3. </w:t>
            </w:r>
            <w:r w:rsidR="00000000" w:rsidRPr="00000000" w:rsidDel="00000000">
              <w:rPr>
                <w:rtl w:val="0"/>
              </w:rPr>
              <w:t xml:space="preserve">apakšpunktā</w:t>
            </w:r>
            <w:r w:rsidR="00000000" w:rsidRPr="00000000" w:rsidDel="00000000">
              <w:rPr>
                <w:rtl w:val="0"/>
              </w:rPr>
              <w:t xml:space="preserve"> noteikto apmācību attiecināmo izmaksu aprēķināšanai izmanto programmas apsaimniekotāja apstiprinātajā vienkāršoto izmaksu metodikā noteikto vienas vienības izmaksu standarta likmi. Nosacījumu par vienkāršoto izmaksu metodikas piemērošanu iekļauj iepriekš noteiktā projekta partnera un programmas apsaimniekotāja līgumā par iepriekš noteiktā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Ministru kabineta 2018. gada 13. novembra noteikumu Nr. 683 “Eiropas Ekonomikas zonas finanšu instrumenta un Norvēģijas finanšu instrumenta 2014.–2021. gada perioda vadības noteikumi” 16.7. apakšpunkta izriet, ka projekta līgumā norāda attiecināmās izmaksas, izmaksu attiecināmības nosacījumus, prasības izdevumu attiecināmības pārbaudei, kā arī laikposmu, kurā projekta ietvaros veiktos izdevumus var uzskatīt par attiecināmiem.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tam, kad tiek veikti grozījumi projekta līgumā, izrietoši, ievērojot Eiropas Ekonomikas zonas finanšu instrumenta un Norvēģijas finanšu instrumenta 2014.—2021. gada perioda vadības likuma 13. panta pirmās daļas 1. punktā noteikto līdzfinansējuma saņēmēja pienākumu nodrošināt iepriekš noteiktā projekta īstenošanu atbilstoši projekta līgumam, Latvijas Republikas normatīvajiem aktiem, Eiropas Savienības tiesību aktiem un starptautiskajām tiesībām, veicami grozījumi arī līdzfinansējuma saņēmēja un projekta partnera sadarbības līgumā.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Ministru kabineta 2021. gada 7. janvāra noteikumu Nr. 4 "Norvēģijas finanšu instrumenta 2014.–2021. gada perioda programmas "Uzņēmējdarbības attīstība, inovācijas un mazie un vidējie uzņēmumi" īstenošanas noteikumi" plānoto 75.1 punktu, ievērojot, ka nosacījums par vienkāršoto izmaksu metodikas piemērošanu iekļaujams tieši projekta līgumā.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72.3. </w:t>
            </w:r>
            <w:r w:rsidR="00000000" w:rsidRPr="00000000" w:rsidDel="00000000">
              <w:rPr>
                <w:rtl w:val="0"/>
              </w:rPr>
              <w:t xml:space="preserve">apakšpunktā</w:t>
            </w:r>
            <w:r w:rsidR="00000000" w:rsidRPr="00000000" w:rsidDel="00000000">
              <w:rPr>
                <w:rtl w:val="0"/>
              </w:rPr>
              <w:t xml:space="preserve"> noteikto apmācību attiecināmo izmaksu aprēķināšanai izmanto programmas apsaimniekotāja apstiprinātajā vienkāršoto izmaksu metodikā noteikto vienas vienības izmaksu standarta likmi. Nosacījumu par vienkāršoto izmaksu metodikas piemērošanu iekļauj līgumā par iepriekš noteiktā projekta īstenošanu.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72.3. </w:t>
            </w:r>
            <w:r w:rsidR="00000000" w:rsidRPr="00000000" w:rsidDel="00000000">
              <w:rPr>
                <w:rtl w:val="0"/>
              </w:rPr>
              <w:t xml:space="preserve">apakšpunktā</w:t>
            </w:r>
            <w:r w:rsidR="00000000" w:rsidRPr="00000000" w:rsidDel="00000000">
              <w:rPr>
                <w:rtl w:val="0"/>
              </w:rPr>
              <w:t xml:space="preserve"> norādīto apmācību atbalstāmo darbību attiecināmo izmaksu aprēķināšanai tiek piemērotas vienas vienības izmaksu standarta likmes atbilstoši programmas apsaimniekotāja apstiprinātajai vienkāršoto izmaksu metodikai.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2.punktā izteikto 75.</w:t>
            </w:r>
            <w:r w:rsidR="00000000" w:rsidRPr="00000000" w:rsidDel="00000000">
              <w:rPr>
                <w:vertAlign w:val="superscript"/>
                <w:rtl w:val="0"/>
              </w:rPr>
              <w:t xml:space="preserve">1</w:t>
            </w:r>
            <w:r w:rsidR="00000000" w:rsidRPr="00000000" w:rsidDel="00000000">
              <w:rPr>
                <w:rtl w:val="0"/>
              </w:rPr>
              <w:t xml:space="preserve"> punktu, ņemot vērā, ka privātpersonai saistošus ārējus normatīvos aktus ir tiesības izdot tikai likumdevējam vai Ministru kabinetam un atvasinātām publiskajām personām likumdevēja skaidri noteiktos gadījumos. Tāpat vēršam uzmanību, ka normatīvā akta tekstā neietver atsauces uz zemāka juridiskā spēka vai iekšējiem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75.</w:t>
            </w:r>
            <w:r w:rsidR="00000000" w:rsidRPr="00000000" w:rsidDel="00000000">
              <w:rPr>
                <w:vertAlign w:val="superscript"/>
                <w:rtl w:val="0"/>
              </w:rPr>
              <w:t xml:space="preserve">1</w:t>
            </w:r>
            <w:r w:rsidR="00000000" w:rsidRPr="00000000" w:rsidDel="00000000">
              <w:rPr>
                <w:rtl w:val="0"/>
              </w:rPr>
              <w:t xml:space="preserve"> punktā noteikt, piemēram, ka: 1) programmas apsaimniekotājs izstrādā un apstiprina vienkāršoto izmaksu metodiku par vienas vienības izmaksu standarta likmes piemērošanu šo noteikumu 72.3. apakšpunktā norādīto izmaksu aprēķināšanai;  2) šo metodiku (vai nosacījumu par metodikas piemērošanu) iekļauj iepriekš noteiktā projekta partnera un programmas apsaimniekotāja līgumā par iepriekš noteiktā projekta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72.3. </w:t>
            </w:r>
            <w:r w:rsidR="00000000" w:rsidRPr="00000000" w:rsidDel="00000000">
              <w:rPr>
                <w:rtl w:val="0"/>
              </w:rPr>
              <w:t xml:space="preserve">apakšpunktā</w:t>
            </w:r>
            <w:r w:rsidR="00000000" w:rsidRPr="00000000" w:rsidDel="00000000">
              <w:rPr>
                <w:rtl w:val="0"/>
              </w:rPr>
              <w:t xml:space="preserve"> noteikto apmācību attiecināmo izmaksu aprēķināšanai izmanto programmas apsaimniekotāja apstiprinātajā vienkāršoto izmaksu metodikā noteikto vienas vienības izmaksu standarta likmi. Nosacījumu par vienkāršoto izmaksu metodikas piemērošanu iekļauj līgumā par iepriekš noteiktā projekta īstenošanu.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23-TA-1305</w:t>
    </w:r>
    <w:r>
      <w:br/>
    </w:r>
    <w:r w:rsidR="00000000" w:rsidRPr="00000000" w:rsidDel="00000000">
      <w:rPr>
        <w:rtl w:val="0"/>
      </w:rPr>
      <w:t xml:space="preserve">30.06.2023. 13.15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23-TA-1305</w:t>
    </w:r>
    <w:r>
      <w:br/>
    </w:r>
    <w:r w:rsidR="00000000" w:rsidRPr="00000000" w:rsidDel="00000000">
      <w:rPr>
        <w:rtl w:val="0"/>
      </w:rPr>
      <w:t xml:space="preserve">30.06.2023. 13.15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Izziņa_23-TA-1305.docx</dc:title>
</cp:coreProperties>
</file>

<file path=docProps/custom.xml><?xml version="1.0" encoding="utf-8"?>
<Properties xmlns="http://schemas.openxmlformats.org/officeDocument/2006/custom-properties" xmlns:vt="http://schemas.openxmlformats.org/officeDocument/2006/docPropsVTypes"/>
</file>