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D2A1A" w:rsidP="004D2A1A" w:rsidRDefault="004D2A1A" w14:paraId="18FDDA56" w14:textId="77777777">
      <w:pPr>
        <w:rPr>
          <w:rFonts w:eastAsia="Times New Roman"/>
        </w:rPr>
      </w:pPr>
      <w:r>
        <w:rPr>
          <w:rFonts w:eastAsia="Times New Roman"/>
          <w:b/>
          <w:bCs/>
        </w:rPr>
        <w:t>From:</w:t>
      </w:r>
      <w:r>
        <w:rPr>
          <w:rFonts w:eastAsia="Times New Roman"/>
        </w:rPr>
        <w:t xml:space="preserve"> </w:t>
      </w:r>
      <w:proofErr w:type="spellStart"/>
      <w:r>
        <w:rPr>
          <w:rFonts w:eastAsia="Times New Roman"/>
        </w:rPr>
        <w:t>Viesturs</w:t>
      </w:r>
      <w:proofErr w:type="spellEnd"/>
      <w:r>
        <w:rPr>
          <w:rFonts w:eastAsia="Times New Roman"/>
        </w:rPr>
        <w:t xml:space="preserve"> </w:t>
      </w:r>
      <w:proofErr w:type="spellStart"/>
      <w:r>
        <w:rPr>
          <w:rFonts w:eastAsia="Times New Roman"/>
        </w:rPr>
        <w:t>Blūmentāls</w:t>
      </w:r>
      <w:proofErr w:type="spellEnd"/>
      <w:r>
        <w:rPr>
          <w:rFonts w:eastAsia="Times New Roman"/>
        </w:rPr>
        <w:t xml:space="preserve"> &lt;Viesturs.Blumentals@tm.gov.lv&gt; </w:t>
      </w:r>
      <w:r>
        <w:rPr>
          <w:rFonts w:eastAsia="Times New Roman"/>
        </w:rPr>
        <w:br/>
      </w:r>
      <w:r>
        <w:rPr>
          <w:rFonts w:eastAsia="Times New Roman"/>
          <w:b/>
          <w:bCs/>
        </w:rPr>
        <w:t>Sent:</w:t>
      </w:r>
      <w:r>
        <w:rPr>
          <w:rFonts w:eastAsia="Times New Roman"/>
        </w:rPr>
        <w:t xml:space="preserve"> Thursday, September 2, </w:t>
      </w:r>
      <w:proofErr w:type="gramStart"/>
      <w:r>
        <w:rPr>
          <w:rFonts w:eastAsia="Times New Roman"/>
        </w:rPr>
        <w:t>2021</w:t>
      </w:r>
      <w:proofErr w:type="gramEnd"/>
      <w:r>
        <w:rPr>
          <w:rFonts w:eastAsia="Times New Roman"/>
        </w:rPr>
        <w:t xml:space="preserve"> 4:08 PM</w:t>
      </w:r>
      <w:r>
        <w:rPr>
          <w:rFonts w:eastAsia="Times New Roman"/>
        </w:rPr>
        <w:br/>
      </w:r>
      <w:r>
        <w:rPr>
          <w:rFonts w:eastAsia="Times New Roman"/>
          <w:b/>
          <w:bCs/>
        </w:rPr>
        <w:t>To:</w:t>
      </w:r>
      <w:r>
        <w:rPr>
          <w:rFonts w:eastAsia="Times New Roman"/>
        </w:rPr>
        <w:t xml:space="preserve"> </w:t>
      </w:r>
      <w:proofErr w:type="spellStart"/>
      <w:r>
        <w:rPr>
          <w:rFonts w:eastAsia="Times New Roman"/>
        </w:rPr>
        <w:t>Satiksmes</w:t>
      </w:r>
      <w:proofErr w:type="spellEnd"/>
      <w:r>
        <w:rPr>
          <w:rFonts w:eastAsia="Times New Roman"/>
        </w:rPr>
        <w:t xml:space="preserve"> </w:t>
      </w:r>
      <w:proofErr w:type="spellStart"/>
      <w:r>
        <w:rPr>
          <w:rFonts w:eastAsia="Times New Roman"/>
        </w:rPr>
        <w:t>ministrija</w:t>
      </w:r>
      <w:proofErr w:type="spellEnd"/>
      <w:r>
        <w:rPr>
          <w:rFonts w:eastAsia="Times New Roman"/>
        </w:rPr>
        <w:t xml:space="preserve"> &lt;satiksmes.ministrija@sam.gov.lv&gt;</w:t>
      </w:r>
      <w:r>
        <w:rPr>
          <w:rFonts w:eastAsia="Times New Roman"/>
        </w:rPr>
        <w:br/>
      </w:r>
      <w:r>
        <w:rPr>
          <w:rFonts w:eastAsia="Times New Roman"/>
          <w:b/>
          <w:bCs/>
        </w:rPr>
        <w:t>Cc:</w:t>
      </w:r>
      <w:r>
        <w:rPr>
          <w:rFonts w:eastAsia="Times New Roman"/>
        </w:rPr>
        <w:t xml:space="preserve"> Ilze Boļšija &lt;Ilze.Bolsija@sam.gov.lv&gt;</w:t>
      </w:r>
      <w:r>
        <w:rPr>
          <w:rFonts w:eastAsia="Times New Roman"/>
        </w:rPr>
        <w:br/>
      </w:r>
      <w:r>
        <w:rPr>
          <w:rFonts w:eastAsia="Times New Roman"/>
          <w:b/>
          <w:bCs/>
        </w:rPr>
        <w:t>Subject:</w:t>
      </w:r>
      <w:r>
        <w:rPr>
          <w:rFonts w:eastAsia="Times New Roman"/>
        </w:rPr>
        <w:t xml:space="preserve"> RE: TAP VSS-736 </w:t>
      </w:r>
      <w:proofErr w:type="spellStart"/>
      <w:r>
        <w:rPr>
          <w:rFonts w:eastAsia="Times New Roman"/>
        </w:rPr>
        <w:t>precizētais</w:t>
      </w:r>
      <w:proofErr w:type="spellEnd"/>
      <w:r>
        <w:rPr>
          <w:rFonts w:eastAsia="Times New Roman"/>
        </w:rPr>
        <w:t xml:space="preserve"> </w:t>
      </w:r>
      <w:proofErr w:type="spellStart"/>
      <w:r>
        <w:rPr>
          <w:rFonts w:eastAsia="Times New Roman"/>
        </w:rPr>
        <w:t>saskaņošana</w:t>
      </w:r>
      <w:proofErr w:type="spellEnd"/>
    </w:p>
    <w:p w:rsidR="004D2A1A" w:rsidP="004D2A1A" w:rsidRDefault="004D2A1A" w14:paraId="5DADC3C5" w14:textId="77777777"/>
    <w:p w:rsidR="004D2A1A" w:rsidP="004D2A1A" w:rsidRDefault="004D2A1A" w14:paraId="6E3C550C" w14:textId="77777777">
      <w:pPr>
        <w:rPr>
          <w:lang w:val="lv-LV"/>
        </w:rPr>
      </w:pPr>
      <w:r>
        <w:rPr>
          <w:lang w:val="lv-LV"/>
        </w:rPr>
        <w:t>Labdien,</w:t>
      </w:r>
    </w:p>
    <w:p w:rsidR="004D2A1A" w:rsidP="004D2A1A" w:rsidRDefault="004D2A1A" w14:paraId="1B97B090" w14:textId="77777777">
      <w:pPr>
        <w:rPr>
          <w:lang w:val="lv-LV"/>
        </w:rPr>
      </w:pPr>
    </w:p>
    <w:p w:rsidR="004D2A1A" w:rsidP="004D2A1A" w:rsidRDefault="004D2A1A" w14:paraId="255D39E3" w14:textId="77777777">
      <w:pPr>
        <w:rPr>
          <w:lang w:val="lv-LV"/>
        </w:rPr>
      </w:pPr>
      <w:r>
        <w:rPr>
          <w:lang w:val="lv-LV"/>
        </w:rPr>
        <w:t>Tieslietu ministrija ir izskatījusi Satiksmes ministrijas izstrādāto precizēto likumprojektu "Par Kopējās aviācijas telpas nolīgumu starp Eiropas Savienību un tās dalībvalstīm, no vienas puses, un Armēnijas Republiku, no otras puses" (turpmāk – likumprojekts) un pievienotos dokumentus un atbalsta to tālāku virzību, izsakot šādus iebildumus:</w:t>
      </w:r>
    </w:p>
    <w:p w:rsidR="004D2A1A" w:rsidP="004D2A1A" w:rsidRDefault="004D2A1A" w14:paraId="04828E70" w14:textId="77777777">
      <w:pPr>
        <w:rPr>
          <w:lang w:val="lv-LV"/>
        </w:rPr>
      </w:pPr>
      <w:r>
        <w:rPr>
          <w:lang w:val="lv-LV"/>
        </w:rPr>
        <w:t>1. Likumprojekta anotācijā norādīts, ka Kopējās aviācijas telpas nolīgumu starp Eiropas Savienību un tās dalībvalstīm, no vienas puses, un Armēnijas Republiku, no otras puses (turpmāk – Nolīgums) noteikumi būs noteicošie attiecībā pret atbilstošajiem noteikumiem līdz šim spēkā esošajos divpusējos gaisa satiksmes pakalpojumu nolīgumos starp Eiropas Savienības dalībvalstīm un Armēnijas Republiku (t.sk. Latvijas Republikas valdības un Armēnijas Republikas valdības nolīgums par gaisa satiksmi, kas tika parakstīts 2009.gada 10.decembrī). Saistībā ar minēto lūdzam:</w:t>
      </w:r>
    </w:p>
    <w:p w:rsidR="004D2A1A" w:rsidP="004D2A1A" w:rsidRDefault="004D2A1A" w14:paraId="1F9F116B" w14:textId="77777777">
      <w:pPr>
        <w:rPr>
          <w:lang w:val="lv-LV"/>
        </w:rPr>
      </w:pPr>
      <w:r>
        <w:rPr>
          <w:lang w:val="lv-LV"/>
        </w:rPr>
        <w:t>pirmkārt, sniegt skaidrojumu likumprojekta anotācijā, vai atsevišķus Latvijas Republikas valdības un Armēnijas Republikas valdības nolīguma par gaisa satiksmi nosacījumus nebūs pamata piemērot saskaņā ar Nolīguma 26. panta 2. punktu;</w:t>
      </w:r>
    </w:p>
    <w:p w:rsidR="004D2A1A" w:rsidP="004D2A1A" w:rsidRDefault="004D2A1A" w14:paraId="346BE839" w14:textId="77777777">
      <w:pPr>
        <w:rPr>
          <w:lang w:val="lv-LV"/>
        </w:rPr>
      </w:pPr>
      <w:r>
        <w:rPr>
          <w:lang w:val="lv-LV"/>
        </w:rPr>
        <w:t>otrkārt, ja Latvijas Republikas valdības un Armēnijas Republikas valdības nolīguma par gaisa satiksmi nosacījumi nav piemērojami, vai paredzēts, ka minētais nolīgums tiek izbeigts (atbilstoši Nolīguma 26. panta 1. punktam 30. pantā paredzētās pagaidu piemērošanas laikā Armēnijas un ES dalībvalstu starpā pastāvošos divpusējos nolīgumus un vienošanās, kas ir spēkā šā nolīguma parakstīšanas dienā, izbeidz, izņemot šā panta 2. punktā paredzētajā apmērā). Norādām, ka šādā gadījumā likumprojekta anotācijā būtu nepieciešams atspoguļot, vai, izbeidzot minēto nolīgumu, likumu “Par Latvijas Republikas valdības un Armēnijas Republikas valdības nolīgumu par gaisa satiksmi” paredzēts atzīt par spēku zaudējušu.</w:t>
      </w:r>
    </w:p>
    <w:p w:rsidR="004D2A1A" w:rsidP="004D2A1A" w:rsidRDefault="004D2A1A" w14:paraId="2AB8AEF2" w14:textId="77777777">
      <w:pPr>
        <w:rPr>
          <w:lang w:val="lv-LV"/>
        </w:rPr>
      </w:pPr>
      <w:r>
        <w:rPr>
          <w:lang w:val="lv-LV"/>
        </w:rPr>
        <w:t xml:space="preserve">2. Ņemot vērā, ka likumprojekts izstrādāts, lai apstiprinātu Nolīgumu, nepieciešams papildināt likumprojekta anotācijas V sadaļas 2. tabulu saskaņā ar Ministru kabineta 2009. gada 15. decembra instrukcijas Nr. 19 "Tiesību akta projekta sākotnējās ietekmes izvērtēšanas kārtība" 58. punktu, norādot uz ar Nolīgumu uzņemtajām saistībām, to būtību un konkrētiem veicamiem pasākumiem vai uzdevumiem, kas nepieciešami šo saistību izpildei. Šobrīd minētajā noteikumu projekta anotācijas sadaļā norādīts uz 1944.gada 7.decembra Konvencija par starptautisko civilo aviāciju saistību izpildi, bet nepieciešams norādīt arī uz Nolīguma saistību izpildi, kas vairākos gadījumos paredz Pušu pienākumus, piemēram, Nolīguma 22. panta 1. punktā. </w:t>
      </w:r>
    </w:p>
    <w:p w:rsidR="004D2A1A" w:rsidP="004D2A1A" w:rsidRDefault="004D2A1A" w14:paraId="0A1C4465" w14:textId="77777777">
      <w:pPr>
        <w:rPr>
          <w:lang w:val="lv-LV"/>
        </w:rPr>
      </w:pPr>
      <w:r>
        <w:rPr>
          <w:lang w:val="lv-LV"/>
        </w:rPr>
        <w:t>3. Lūdzam precizēt likumprojekta 3. pantā vārdus “Nolīguma provizoriska piemērošana stājas spēkā”, aizstājot tos ar vārdiem “Nolīgums provizoriski piemērojams”, ņemot vērā, ka ar to būs saprotama plašāka piemērošanas kārtība.</w:t>
      </w:r>
    </w:p>
    <w:p w:rsidR="004D2A1A" w:rsidP="004D2A1A" w:rsidRDefault="004D2A1A" w14:paraId="79789F4B" w14:textId="77777777">
      <w:pPr>
        <w:rPr>
          <w:lang w:val="lv-LV"/>
        </w:rPr>
      </w:pPr>
    </w:p>
    <w:p w:rsidR="004D2A1A" w:rsidP="004D2A1A" w:rsidRDefault="004D2A1A" w14:paraId="238400D3" w14:textId="77777777">
      <w:pPr>
        <w:rPr>
          <w:lang w:val="lv-LV"/>
        </w:rPr>
      </w:pPr>
    </w:p>
    <w:p w:rsidR="004D2A1A" w:rsidP="004D2A1A" w:rsidRDefault="004D2A1A" w14:paraId="1A206CCE" w14:textId="1BB8F454">
      <w:pPr>
        <w:rPr>
          <w:lang w:val="lv-LV"/>
        </w:rPr>
      </w:pPr>
      <w:r>
        <w:rPr>
          <w:noProof/>
          <w:lang w:val="lv-LV"/>
        </w:rPr>
        <w:drawing>
          <wp:inline distT="0" distB="0" distL="0" distR="0" wp14:anchorId="45DBB6BA" wp14:editId="2B3B4453">
            <wp:extent cx="5276215" cy="2696845"/>
            <wp:effectExtent l="0" t="0" r="0" b="8255"/>
            <wp:docPr id="1"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276215" cy="2696845"/>
                    </a:xfrm>
                    <a:prstGeom prst="rect">
                      <a:avLst/>
                    </a:prstGeom>
                    <a:noFill/>
                    <a:ln>
                      <a:noFill/>
                    </a:ln>
                  </pic:spPr>
                </pic:pic>
              </a:graphicData>
            </a:graphic>
          </wp:inline>
        </w:drawing>
      </w:r>
    </w:p>
    <w:sectPr w:rsidR="004D2A1A" w:rsidSect="004D2A1A">
      <w:pgSz w:w="11906" w:h="16838"/>
      <w:pgMar w:top="851" w:right="1134" w:bottom="426" w:left="1701" w:header="709" w:footer="709"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4"/>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2A1A"/>
    <w:rsid w:val="001C3B44"/>
    <w:rsid w:val="004D2A1A"/>
    <w:rsid w:val="009936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273C65"/>
  <w15:chartTrackingRefBased/>
  <w15:docId w15:val="{423284AA-8CD2-44EE-A95C-C618664C4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2A1A"/>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4D2A1A"/>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2357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458</Words>
  <Characters>2616</Characters>
  <Application>Microsoft Office Word</Application>
  <DocSecurity>0</DocSecurity>
  <Lines>21</Lines>
  <Paragraphs>6</Paragraphs>
  <ScaleCrop>false</ScaleCrop>
  <Company>TM</Company>
  <LinksUpToDate>false</LinksUpToDate>
  <CharactersWithSpaces>3068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VSS-736</dc:title>
  <dc:subject>Atzinums</dc:subject>
  <dc:creator>Viesturs Blūmentāls</dc:creator>
  <cp:keywords/>
  <dc:description/>
  <cp:lastModifiedBy>Ilze Boļšija</cp:lastModifiedBy>
  <cp:revision>1</cp:revision>
  <dcterms:created xsi:type="dcterms:W3CDTF">2021-09-06T08:33:00Z</dcterms:created>
  <dcterms:modified xsi:type="dcterms:W3CDTF">2021-09-06T08:34:00Z</dcterms:modified>
</cp:coreProperties>
</file>